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7088"/>
          <w:tab w:val="right" w:pos="9781"/>
          <w:tab w:val="clear" w:pos="8306"/>
        </w:tabs>
        <w:spacing w:after="0"/>
        <w:rPr>
          <w:rFonts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120bis                                                 </w:t>
      </w:r>
      <w:r>
        <w:rPr>
          <w:rFonts w:ascii="Arial" w:hAnsi="Arial" w:cs="Arial"/>
          <w:b/>
          <w:bCs/>
          <w:sz w:val="22"/>
          <w:lang w:val="en-US" w:eastAsia="zh-CN"/>
        </w:rPr>
        <w:t xml:space="preserve">                                      R1-2501910</w:t>
      </w:r>
    </w:p>
    <w:p>
      <w:pPr>
        <w:rPr>
          <w:rFonts w:ascii="Arial" w:hAnsi="Arial" w:cs="Arial"/>
          <w:sz w:val="22"/>
          <w:szCs w:val="22"/>
        </w:rPr>
      </w:pPr>
      <w:r>
        <w:rPr>
          <w:rFonts w:ascii="Arial" w:hAnsi="Arial" w:cs="Arial"/>
          <w:b/>
          <w:bCs/>
          <w:sz w:val="22"/>
        </w:rPr>
        <w:t>Wuhan, China, 07</w:t>
      </w:r>
      <w:r>
        <w:rPr>
          <w:rFonts w:ascii="Arial" w:hAnsi="Arial" w:cs="Arial"/>
          <w:b/>
          <w:bCs/>
          <w:sz w:val="22"/>
          <w:vertAlign w:val="superscript"/>
        </w:rPr>
        <w:t>th</w:t>
      </w:r>
      <w:r>
        <w:rPr>
          <w:rFonts w:ascii="Arial" w:hAnsi="Arial" w:cs="Arial"/>
          <w:b/>
          <w:bCs/>
          <w:sz w:val="22"/>
        </w:rPr>
        <w:t xml:space="preserve"> - 11</w:t>
      </w:r>
      <w:r>
        <w:rPr>
          <w:rFonts w:ascii="Arial" w:hAnsi="Arial" w:cs="Arial"/>
          <w:b/>
          <w:bCs/>
          <w:sz w:val="22"/>
          <w:vertAlign w:val="superscript"/>
        </w:rPr>
        <w:t>th</w:t>
      </w:r>
      <w:r>
        <w:rPr>
          <w:rFonts w:ascii="Arial" w:hAnsi="Arial" w:cs="Arial"/>
          <w:b/>
          <w:bCs/>
          <w:sz w:val="22"/>
        </w:rPr>
        <w:t xml:space="preserve"> April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rPr>
        <w:t>Discussion on multi-cell PUSCH/PDSCH scheduling with a single DCI</w:t>
      </w:r>
    </w:p>
    <w:p>
      <w:pPr>
        <w:spacing w:after="60"/>
        <w:ind w:left="1985" w:hanging="1985"/>
        <w:rPr>
          <w:rFonts w:ascii="Arial" w:hAnsi="Arial" w:cs="Arial"/>
          <w:bCs/>
          <w:lang w:val="en-US" w:eastAsia="zh-CN"/>
        </w:rPr>
      </w:pPr>
      <w:r>
        <w:rPr>
          <w:rFonts w:ascii="Arial" w:hAnsi="Arial" w:cs="Arial"/>
          <w:b/>
        </w:rPr>
        <w:t>Agenda item:</w:t>
      </w:r>
      <w:r>
        <w:rPr>
          <w:rFonts w:ascii="Arial" w:hAnsi="Arial" w:cs="Arial"/>
          <w:b/>
        </w:rPr>
        <w:tab/>
      </w:r>
      <w:r>
        <w:rPr>
          <w:rFonts w:ascii="Arial" w:hAnsi="Arial" w:cs="Arial"/>
          <w:b/>
        </w:rPr>
        <w:t>9.12.1</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pPr>
        <w:rPr>
          <w:lang w:val="en-US" w:eastAsia="zh-CN"/>
        </w:rPr>
      </w:pPr>
      <w:r>
        <w:rPr>
          <w:lang w:eastAsia="zh-CN"/>
        </w:rPr>
        <w:t>In RAN#1</w:t>
      </w:r>
      <w:r>
        <w:rPr>
          <w:rFonts w:hint="eastAsia"/>
          <w:lang w:val="en-US" w:eastAsia="zh-CN"/>
        </w:rPr>
        <w:t>06</w:t>
      </w:r>
      <w:r>
        <w:rPr>
          <w:lang w:eastAsia="zh-CN"/>
        </w:rPr>
        <w:t xml:space="preserve"> meeting, a </w:t>
      </w:r>
      <w:r>
        <w:rPr>
          <w:rFonts w:hint="eastAsia"/>
          <w:lang w:val="en-US" w:eastAsia="zh-CN"/>
        </w:rPr>
        <w:t>revised WID</w:t>
      </w:r>
      <w:r>
        <w:rPr>
          <w:lang w:eastAsia="zh-CN"/>
        </w:rPr>
        <w:t xml:space="preserve"> o</w:t>
      </w:r>
      <w:r>
        <w:rPr>
          <w:rFonts w:hint="eastAsia"/>
          <w:lang w:val="en-US" w:eastAsia="zh-CN"/>
        </w:rPr>
        <w:t xml:space="preserve">n </w:t>
      </w:r>
      <w:r>
        <w:rPr>
          <w:lang w:eastAsia="zh-CN"/>
        </w:rPr>
        <w:t xml:space="preserve">Multi-carrier enhancements for NR Phase </w:t>
      </w:r>
      <w:r>
        <w:rPr>
          <w:rFonts w:hint="eastAsia"/>
          <w:lang w:val="en-US" w:eastAsia="zh-CN"/>
        </w:rPr>
        <w:t xml:space="preserve">3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The details of the objective are shown below.</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rPr>
                <w:rFonts w:eastAsia="Yu Mincho"/>
              </w:rPr>
            </w:pPr>
            <w:r>
              <w:rPr>
                <w:rFonts w:eastAsia="Yu Mincho"/>
              </w:rPr>
              <w:t>1. Specify the support of the following for multi-cell PUSCH/PDSCH scheduling with a single DCI [RAN1]</w:t>
            </w:r>
          </w:p>
          <w:p>
            <w:pPr>
              <w:numPr>
                <w:ilvl w:val="0"/>
                <w:numId w:val="13"/>
              </w:numPr>
              <w:rPr>
                <w:rFonts w:eastAsia="Yu Mincho"/>
                <w:lang w:val="en-US"/>
              </w:rPr>
            </w:pPr>
            <w:r>
              <w:rPr>
                <w:rFonts w:eastAsia="Yu Mincho"/>
                <w:lang w:val="en-US"/>
              </w:rPr>
              <w:t xml:space="preserve">Different SCS/carrier type among co-scheduled cells by the single </w:t>
            </w:r>
            <w:r>
              <w:rPr>
                <w:rFonts w:eastAsia="Yu Mincho"/>
              </w:rPr>
              <w:t>DCI</w:t>
            </w:r>
            <w:r>
              <w:rPr>
                <w:rFonts w:eastAsia="Yu Mincho"/>
                <w:lang w:val="en-US"/>
              </w:rPr>
              <w:t>.</w:t>
            </w:r>
          </w:p>
          <w:p>
            <w:pPr>
              <w:numPr>
                <w:ilvl w:val="0"/>
                <w:numId w:val="13"/>
              </w:numPr>
              <w:rPr>
                <w:rFonts w:eastAsia="Yu Mincho"/>
                <w:lang w:val="en-US"/>
              </w:rPr>
            </w:pPr>
            <w:r>
              <w:rPr>
                <w:rFonts w:eastAsia="Yu Mincho"/>
                <w:lang w:val="en-US"/>
              </w:rPr>
              <w:t>One or multiple PUSCHs/PDSCHs per scheduled cell by the single DCI.</w:t>
            </w:r>
          </w:p>
          <w:p>
            <w:pPr>
              <w:numPr>
                <w:ilvl w:val="1"/>
                <w:numId w:val="13"/>
              </w:numPr>
              <w:rPr>
                <w:rFonts w:eastAsia="Yu Mincho"/>
                <w:lang w:val="en-US"/>
              </w:rPr>
            </w:pPr>
            <w:r>
              <w:rPr>
                <w:rFonts w:eastAsia="Yu Mincho"/>
                <w:lang w:val="en-US"/>
              </w:rPr>
              <w:t xml:space="preserve">The maximum number of PUSCHs/PDSCHs </w:t>
            </w:r>
            <w:r>
              <w:rPr>
                <w:rFonts w:hint="eastAsia"/>
                <w:lang w:val="en-US" w:eastAsia="zh-CN"/>
              </w:rPr>
              <w:t>for a</w:t>
            </w:r>
            <w:r>
              <w:rPr>
                <w:rFonts w:eastAsia="Yu Mincho"/>
                <w:lang w:val="en-US"/>
              </w:rPr>
              <w:t xml:space="preserve"> scheduled cell is </w:t>
            </w:r>
            <w:r>
              <w:rPr>
                <w:rFonts w:hint="eastAsia"/>
                <w:lang w:val="en-US" w:eastAsia="zh-CN"/>
              </w:rPr>
              <w:t>8</w:t>
            </w:r>
            <w:r>
              <w:rPr>
                <w:rFonts w:eastAsia="Yu Mincho"/>
                <w:lang w:val="en-US"/>
              </w:rPr>
              <w:t>.</w:t>
            </w:r>
          </w:p>
          <w:p>
            <w:pPr>
              <w:numPr>
                <w:ilvl w:val="1"/>
                <w:numId w:val="13"/>
              </w:numPr>
              <w:rPr>
                <w:rFonts w:eastAsia="Yu Mincho"/>
                <w:lang w:val="en-US"/>
              </w:rPr>
            </w:pPr>
            <w:r>
              <w:rPr>
                <w:rFonts w:eastAsia="Yu Mincho"/>
                <w:lang w:val="en-US"/>
              </w:rPr>
              <w:t>Note: Type-1 HARQ-ACK codebook is not enhanced for Rel-19 multi-cell scheduling.</w:t>
            </w:r>
          </w:p>
          <w:p>
            <w:pPr>
              <w:numPr>
                <w:ilvl w:val="1"/>
                <w:numId w:val="13"/>
              </w:numPr>
              <w:rPr>
                <w:rFonts w:eastAsia="Yu Mincho"/>
                <w:lang w:val="en-US"/>
              </w:rPr>
            </w:pPr>
            <w:r>
              <w:rPr>
                <w:rFonts w:eastAsia="Yu Mincho"/>
                <w:lang w:val="en-US"/>
              </w:rPr>
              <w:t>Note: The maximum number of sub-codebooks for Type-2 HARQ-ACK codebook is not increased for Rel-19 multi-cell scheduling.</w:t>
            </w:r>
          </w:p>
          <w:p>
            <w:pPr>
              <w:numPr>
                <w:ilvl w:val="1"/>
                <w:numId w:val="13"/>
              </w:numPr>
              <w:rPr>
                <w:rFonts w:eastAsia="Yu Mincho"/>
                <w:lang w:val="en-US"/>
              </w:rPr>
            </w:pPr>
            <w:r>
              <w:rPr>
                <w:rFonts w:eastAsia="Yu Mincho"/>
                <w:lang w:val="en-US"/>
              </w:rPr>
              <w:t>Note: UE does not expect to be configured with both single-cell multi-PUSCH/PDSCH scheduling and multi-cell multi-PUSCH/PDSCH scheduling on the same or different cells within a same PUCCH group.</w:t>
            </w:r>
          </w:p>
          <w:p>
            <w:pPr>
              <w:numPr>
                <w:ilvl w:val="0"/>
                <w:numId w:val="13"/>
              </w:numPr>
              <w:rPr>
                <w:rFonts w:eastAsia="Batang"/>
                <w:b/>
                <w:bCs/>
                <w:lang w:eastAsia="zh-CN"/>
              </w:rPr>
            </w:pPr>
            <w:r>
              <w:rPr>
                <w:rFonts w:eastAsia="Yu Mincho"/>
                <w:lang w:val="en-US"/>
              </w:rPr>
              <w:t>Note: No new DCI format is introduced.</w:t>
            </w:r>
          </w:p>
        </w:tc>
      </w:tr>
    </w:tbl>
    <w:p>
      <w:pPr>
        <w:spacing w:before="120" w:beforeLines="50"/>
        <w:rPr>
          <w:lang w:val="en-US" w:eastAsia="zh-CN"/>
        </w:rPr>
      </w:pPr>
      <w:r>
        <w:rPr>
          <w:rFonts w:hint="eastAsia"/>
          <w:lang w:val="en-US" w:eastAsia="zh-CN"/>
        </w:rPr>
        <w:t xml:space="preserve">In this contribution, our analyses on the Rel-19 multi-cell </w:t>
      </w:r>
      <w:r>
        <w:rPr>
          <w:rFonts w:eastAsia="Yu Mincho"/>
        </w:rPr>
        <w:t>PUSCH/PDSCH</w:t>
      </w:r>
      <w:r>
        <w:rPr>
          <w:rFonts w:hint="eastAsia"/>
          <w:lang w:val="en-US" w:eastAsia="zh-CN"/>
        </w:rPr>
        <w:t xml:space="preserve"> scheduling with a single DCI are provided, including HARQ</w:t>
      </w:r>
      <w:r>
        <w:rPr>
          <w:lang w:val="en-US" w:eastAsia="zh-CN"/>
        </w:rPr>
        <w:t xml:space="preserve"> timing</w:t>
      </w:r>
      <w:r>
        <w:rPr>
          <w:rFonts w:hint="eastAsia"/>
          <w:lang w:val="en-US" w:eastAsia="zh-CN"/>
        </w:rPr>
        <w:t>, Type-1/2 HARQ-ACK codebook</w:t>
      </w:r>
      <w:r>
        <w:rPr>
          <w:lang w:val="en-US" w:eastAsia="zh-CN"/>
        </w:rPr>
        <w:t>,</w:t>
      </w:r>
      <w:r>
        <w:rPr>
          <w:rFonts w:hint="eastAsia"/>
          <w:lang w:val="en-US" w:eastAsia="zh-CN"/>
        </w:rPr>
        <w:t xml:space="preserve"> the maximum number of PUSCHs/PDSCHs</w:t>
      </w:r>
      <w:r>
        <w:rPr>
          <w:lang w:val="en-US" w:eastAsia="zh-CN"/>
        </w:rPr>
        <w:t xml:space="preserve"> and RRC parameters</w:t>
      </w:r>
      <w:r>
        <w:rPr>
          <w:rFonts w:hint="eastAsia"/>
          <w:lang w:val="en-US" w:eastAsia="zh-CN"/>
        </w:rPr>
        <w:t>.</w:t>
      </w:r>
    </w:p>
    <w:p>
      <w:pPr>
        <w:pStyle w:val="2"/>
        <w:rPr>
          <w:lang w:val="en-US" w:eastAsia="zh-CN"/>
        </w:rPr>
      </w:pPr>
      <w:r>
        <w:t>Scenarios</w:t>
      </w:r>
    </w:p>
    <w:p>
      <w:pPr>
        <w:spacing w:before="120" w:beforeLines="50"/>
        <w:rPr>
          <w:lang w:val="en-US" w:eastAsia="zh-CN"/>
        </w:rPr>
      </w:pPr>
      <w:r>
        <w:rPr>
          <w:rFonts w:hint="eastAsia"/>
          <w:lang w:val="en-US" w:eastAsia="zh-CN"/>
        </w:rPr>
        <w:t xml:space="preserve">In RAN1#118bis, 6 cases for scheduled cells in Rel-19 </w:t>
      </w:r>
      <w:r>
        <w:rPr>
          <w:rFonts w:cs="Times"/>
        </w:rPr>
        <w:t>multi-cell scheduling</w:t>
      </w:r>
      <w:r>
        <w:rPr>
          <w:rFonts w:hint="eastAsia" w:cs="Times"/>
          <w:lang w:val="en-US" w:eastAsia="zh-CN"/>
        </w:rPr>
        <w:t xml:space="preserve"> </w:t>
      </w:r>
      <w:r>
        <w:rPr>
          <w:rFonts w:hint="eastAsia"/>
          <w:lang w:val="en-US" w:eastAsia="zh-CN"/>
        </w:rPr>
        <w:t>have been agreed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rPr>
                <w:rFonts w:eastAsia="等线"/>
                <w:highlight w:val="green"/>
                <w:lang w:eastAsia="zh-CN"/>
              </w:rPr>
            </w:pPr>
            <w:r>
              <w:rPr>
                <w:rFonts w:hint="eastAsia" w:ascii="Times" w:hAnsi="Times" w:eastAsia="等线"/>
                <w:bCs/>
                <w:highlight w:val="green"/>
                <w:lang w:val="en-US" w:eastAsia="zh-CN"/>
              </w:rPr>
              <w:t xml:space="preserve">RAN1#118bis </w:t>
            </w:r>
            <w:r>
              <w:rPr>
                <w:rFonts w:hint="eastAsia" w:eastAsia="等线"/>
                <w:highlight w:val="green"/>
                <w:lang w:eastAsia="zh-CN"/>
              </w:rPr>
              <w:t>Agreement</w:t>
            </w:r>
          </w:p>
          <w:p>
            <w:pPr>
              <w:numPr>
                <w:ilvl w:val="0"/>
                <w:numId w:val="14"/>
              </w:numPr>
              <w:snapToGrid w:val="0"/>
              <w:rPr>
                <w:rFonts w:eastAsia="等线"/>
                <w:bCs/>
              </w:rPr>
            </w:pPr>
            <w:r>
              <w:rPr>
                <w:rFonts w:hint="eastAsia" w:eastAsia="等线"/>
                <w:bCs/>
                <w:szCs w:val="16"/>
                <w:lang w:eastAsia="zh-CN"/>
              </w:rPr>
              <w:t>Consider</w:t>
            </w:r>
            <w:r>
              <w:rPr>
                <w:rFonts w:eastAsia="等线"/>
                <w:bCs/>
                <w:szCs w:val="16"/>
              </w:rPr>
              <w:t xml:space="preserve"> at least the case that up to two different SCS</w:t>
            </w:r>
            <w:r>
              <w:rPr>
                <w:rFonts w:hint="eastAsia" w:eastAsia="等线"/>
                <w:bCs/>
                <w:szCs w:val="16"/>
                <w:lang w:eastAsia="zh-CN"/>
              </w:rPr>
              <w:t xml:space="preserve"> </w:t>
            </w:r>
            <w:r>
              <w:rPr>
                <w:rFonts w:eastAsia="等线"/>
                <w:bCs/>
                <w:szCs w:val="16"/>
              </w:rPr>
              <w:t xml:space="preserve">can be scheduled by a DCI </w:t>
            </w:r>
            <w:r>
              <w:rPr>
                <w:rFonts w:eastAsia="MS Mincho"/>
                <w:bCs/>
                <w:color w:val="000000"/>
                <w:lang w:eastAsia="ja-JP"/>
              </w:rPr>
              <w:t>format 0_3/1_3 in Rel-19</w:t>
            </w:r>
            <w:r>
              <w:rPr>
                <w:rFonts w:eastAsia="等线"/>
                <w:bCs/>
                <w:szCs w:val="16"/>
              </w:rPr>
              <w:t>.</w:t>
            </w:r>
          </w:p>
          <w:p>
            <w:pPr>
              <w:numPr>
                <w:ilvl w:val="0"/>
                <w:numId w:val="14"/>
              </w:numPr>
              <w:snapToGrid w:val="0"/>
              <w:rPr>
                <w:rFonts w:eastAsia="等线"/>
                <w:bCs/>
                <w:color w:val="000000"/>
              </w:rPr>
            </w:pPr>
            <w:r>
              <w:rPr>
                <w:rFonts w:eastAsia="等线"/>
                <w:bCs/>
                <w:color w:val="000000"/>
              </w:rPr>
              <w:t xml:space="preserve">Consider at least the following cases for scheduled cells in Rel-19: </w:t>
            </w:r>
          </w:p>
          <w:p>
            <w:pPr>
              <w:numPr>
                <w:ilvl w:val="0"/>
                <w:numId w:val="15"/>
              </w:numPr>
              <w:snapToGrid w:val="0"/>
              <w:spacing w:after="60"/>
              <w:rPr>
                <w:rFonts w:eastAsia="MS Mincho"/>
                <w:bCs/>
                <w:color w:val="000000"/>
                <w:lang w:eastAsia="ja-JP"/>
              </w:rPr>
            </w:pPr>
            <w:r>
              <w:rPr>
                <w:rFonts w:eastAsia="MS Mincho"/>
                <w:bCs/>
                <w:color w:val="000000"/>
                <w:lang w:eastAsia="ja-JP"/>
              </w:rPr>
              <w:t>Case 1: A DCI format 0_3/1_3 scheduling PUSCHs/PDSCHs on FR1 licensed FDD cell(s) with SCS1 and FR1 licensed TDD cell(s) 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p>
          <w:p>
            <w:pPr>
              <w:numPr>
                <w:ilvl w:val="1"/>
                <w:numId w:val="15"/>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5"/>
              </w:numPr>
              <w:snapToGrid w:val="0"/>
              <w:spacing w:after="60"/>
              <w:rPr>
                <w:rFonts w:eastAsia="MS Mincho"/>
                <w:bCs/>
                <w:color w:val="000000"/>
                <w:lang w:eastAsia="ja-JP"/>
              </w:rPr>
            </w:pPr>
            <w:r>
              <w:rPr>
                <w:rFonts w:eastAsia="MS Mincho"/>
                <w:bCs/>
                <w:color w:val="000000"/>
                <w:lang w:eastAsia="ja-JP"/>
              </w:rPr>
              <w:t xml:space="preserve">Case 2: A DCI format 0_3/1_3 scheduling PUSCHs/PDSCHs on FR1 licensed FDD cell(s) with SCS1 </w:t>
            </w:r>
            <w:r>
              <w:rPr>
                <w:rFonts w:hint="eastAsia" w:eastAsia="MS Mincho"/>
                <w:bCs/>
                <w:color w:val="000000"/>
                <w:lang w:eastAsia="ja-JP"/>
              </w:rPr>
              <w:t>and FR2</w:t>
            </w:r>
            <w:r>
              <w:rPr>
                <w:rFonts w:eastAsia="MS Mincho"/>
                <w:bCs/>
                <w:color w:val="000000"/>
                <w:lang w:eastAsia="ja-JP"/>
              </w:rPr>
              <w:t>-1</w:t>
            </w:r>
            <w:r>
              <w:rPr>
                <w:rFonts w:hint="eastAsia" w:eastAsia="MS Mincho"/>
                <w:bCs/>
                <w:color w:val="000000"/>
                <w:lang w:eastAsia="ja-JP"/>
              </w:rPr>
              <w:t xml:space="preserve"> cell(s) </w:t>
            </w:r>
            <w:r>
              <w:rPr>
                <w:rFonts w:eastAsia="MS Mincho"/>
                <w:bCs/>
                <w:color w:val="000000"/>
                <w:lang w:eastAsia="ja-JP"/>
              </w:rPr>
              <w:t>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r>
              <w:rPr>
                <w:rFonts w:eastAsia="MS Mincho"/>
                <w:bCs/>
                <w:color w:val="000000"/>
                <w:lang w:eastAsia="ja-JP"/>
              </w:rPr>
              <w:t xml:space="preserve"> </w:t>
            </w:r>
          </w:p>
          <w:p>
            <w:pPr>
              <w:numPr>
                <w:ilvl w:val="1"/>
                <w:numId w:val="15"/>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5"/>
              </w:numPr>
              <w:snapToGrid w:val="0"/>
              <w:spacing w:after="60"/>
              <w:rPr>
                <w:rFonts w:eastAsia="MS Mincho"/>
                <w:bCs/>
                <w:color w:val="000000"/>
                <w:lang w:eastAsia="ja-JP"/>
              </w:rPr>
            </w:pPr>
            <w:r>
              <w:rPr>
                <w:rFonts w:eastAsia="MS Mincho"/>
                <w:bCs/>
                <w:color w:val="000000"/>
                <w:lang w:eastAsia="ja-JP"/>
              </w:rPr>
              <w:t xml:space="preserve">Case 3: A DCI format 0_3/1_3 scheduling PUSCHs/PDSCHs on FR1 licensed TDD cell(s) with SCS1 </w:t>
            </w:r>
            <w:r>
              <w:rPr>
                <w:rFonts w:hint="eastAsia" w:eastAsia="MS Mincho"/>
                <w:bCs/>
                <w:color w:val="000000"/>
                <w:lang w:eastAsia="ja-JP"/>
              </w:rPr>
              <w:t>and FR2</w:t>
            </w:r>
            <w:r>
              <w:rPr>
                <w:rFonts w:eastAsia="MS Mincho"/>
                <w:bCs/>
                <w:color w:val="000000"/>
                <w:lang w:eastAsia="ja-JP"/>
              </w:rPr>
              <w:t>-1</w:t>
            </w:r>
            <w:r>
              <w:rPr>
                <w:rFonts w:hint="eastAsia" w:eastAsia="MS Mincho"/>
                <w:bCs/>
                <w:color w:val="000000"/>
                <w:lang w:eastAsia="ja-JP"/>
              </w:rPr>
              <w:t xml:space="preserve"> cell(s) </w:t>
            </w:r>
            <w:r>
              <w:rPr>
                <w:rFonts w:eastAsia="MS Mincho"/>
                <w:bCs/>
                <w:color w:val="000000"/>
                <w:lang w:eastAsia="ja-JP"/>
              </w:rPr>
              <w:t>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r>
              <w:rPr>
                <w:rFonts w:eastAsia="MS Mincho"/>
                <w:bCs/>
                <w:color w:val="000000"/>
                <w:lang w:eastAsia="ja-JP"/>
              </w:rPr>
              <w:t xml:space="preserve"> </w:t>
            </w:r>
          </w:p>
          <w:p>
            <w:pPr>
              <w:numPr>
                <w:ilvl w:val="1"/>
                <w:numId w:val="15"/>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5"/>
              </w:numPr>
              <w:snapToGrid w:val="0"/>
              <w:spacing w:after="60"/>
              <w:rPr>
                <w:rFonts w:eastAsia="MS Mincho"/>
                <w:bCs/>
                <w:color w:val="000000"/>
                <w:lang w:eastAsia="ja-JP"/>
              </w:rPr>
            </w:pPr>
            <w:r>
              <w:rPr>
                <w:rFonts w:eastAsia="MS Mincho"/>
                <w:bCs/>
                <w:color w:val="000000"/>
                <w:lang w:eastAsia="ja-JP"/>
              </w:rPr>
              <w:t>Case 4: A DCI format 0_3/1_3 scheduling PUSCHs/PDSCHs on FR1 licensed FDD cell(s) with different SC</w:t>
            </w:r>
            <w:r>
              <w:rPr>
                <w:rFonts w:hint="eastAsia" w:eastAsia="MS Mincho"/>
                <w:bCs/>
                <w:color w:val="000000"/>
                <w:lang w:eastAsia="ja-JP"/>
              </w:rPr>
              <w:t>S.</w:t>
            </w:r>
          </w:p>
          <w:p>
            <w:pPr>
              <w:numPr>
                <w:ilvl w:val="0"/>
                <w:numId w:val="15"/>
              </w:numPr>
              <w:snapToGrid w:val="0"/>
              <w:spacing w:after="60"/>
              <w:rPr>
                <w:rFonts w:eastAsia="MS Mincho"/>
                <w:bCs/>
                <w:color w:val="000000"/>
                <w:lang w:eastAsia="ja-JP"/>
              </w:rPr>
            </w:pPr>
            <w:r>
              <w:rPr>
                <w:rFonts w:eastAsia="MS Mincho"/>
                <w:bCs/>
                <w:color w:val="000000"/>
                <w:lang w:eastAsia="ja-JP"/>
              </w:rPr>
              <w:t>Case 5: A DCI format 0_3/1_3 scheduling PUSCHs/PDSCHs on FR1 licensed TDD cell(s) with different SC</w:t>
            </w:r>
            <w:r>
              <w:rPr>
                <w:rFonts w:hint="eastAsia" w:eastAsia="MS Mincho"/>
                <w:bCs/>
                <w:color w:val="000000"/>
                <w:lang w:eastAsia="ja-JP"/>
              </w:rPr>
              <w:t>S.</w:t>
            </w:r>
          </w:p>
          <w:p>
            <w:pPr>
              <w:numPr>
                <w:ilvl w:val="0"/>
                <w:numId w:val="15"/>
              </w:numPr>
              <w:snapToGrid w:val="0"/>
              <w:spacing w:after="60"/>
              <w:rPr>
                <w:iCs/>
                <w:lang w:val="en-US" w:eastAsia="zh-CN"/>
              </w:rPr>
            </w:pPr>
            <w:r>
              <w:rPr>
                <w:rFonts w:eastAsia="MS Mincho"/>
                <w:bCs/>
                <w:color w:val="000000"/>
                <w:lang w:eastAsia="ja-JP"/>
              </w:rPr>
              <w:t xml:space="preserve">Case 6: A DCI format 0_3/1_3 scheduling PUSCHs/PDSCHs on </w:t>
            </w:r>
            <w:r>
              <w:rPr>
                <w:rFonts w:hint="eastAsia" w:eastAsia="MS Mincho"/>
                <w:bCs/>
                <w:color w:val="000000"/>
                <w:lang w:eastAsia="ja-JP"/>
              </w:rPr>
              <w:t>FR2</w:t>
            </w:r>
            <w:r>
              <w:rPr>
                <w:rFonts w:eastAsia="MS Mincho"/>
                <w:bCs/>
                <w:color w:val="000000"/>
                <w:lang w:eastAsia="ja-JP"/>
              </w:rPr>
              <w:t>-1</w:t>
            </w:r>
            <w:r>
              <w:rPr>
                <w:rFonts w:hint="eastAsia" w:eastAsia="MS Mincho"/>
                <w:bCs/>
                <w:color w:val="000000"/>
                <w:lang w:eastAsia="ja-JP"/>
              </w:rPr>
              <w:t xml:space="preserve"> cell(</w:t>
            </w:r>
            <w:r>
              <w:rPr>
                <w:rFonts w:hint="eastAsia" w:eastAsia="MS Mincho"/>
                <w:bCs/>
                <w:lang w:eastAsia="ja-JP"/>
              </w:rPr>
              <w:t xml:space="preserve">s) </w:t>
            </w:r>
            <w:r>
              <w:rPr>
                <w:rFonts w:eastAsia="MS Mincho"/>
                <w:bCs/>
                <w:lang w:eastAsia="ja-JP"/>
              </w:rPr>
              <w:t>with different SC</w:t>
            </w:r>
            <w:r>
              <w:rPr>
                <w:rFonts w:hint="eastAsia" w:eastAsia="MS Mincho"/>
                <w:bCs/>
                <w:lang w:eastAsia="ja-JP"/>
              </w:rPr>
              <w:t>S.</w:t>
            </w:r>
            <w:r>
              <w:rPr>
                <w:rFonts w:eastAsia="MS Mincho"/>
                <w:bCs/>
                <w:lang w:eastAsia="ja-JP"/>
              </w:rPr>
              <w:t xml:space="preserve"> </w:t>
            </w:r>
          </w:p>
        </w:tc>
      </w:tr>
    </w:tbl>
    <w:p>
      <w:pPr>
        <w:spacing w:before="120" w:beforeLines="50"/>
        <w:rPr>
          <w:lang w:val="en-US" w:eastAsia="zh-CN"/>
        </w:rPr>
      </w:pPr>
      <w:r>
        <w:rPr>
          <w:lang w:eastAsia="zh-CN"/>
        </w:rPr>
        <w:t xml:space="preserve">For the 6 cases, the scheduled cells can have at most two different SCS. </w:t>
      </w:r>
      <w:r>
        <w:rPr>
          <w:rFonts w:hint="eastAsia"/>
          <w:lang w:val="en-US" w:eastAsia="zh-CN"/>
        </w:rPr>
        <w:t xml:space="preserve">However, based on the significant commercial demands from operators, it is recommended that the case involving three different SCS can </w:t>
      </w:r>
      <w:r>
        <w:rPr>
          <w:lang w:val="en-US" w:eastAsia="zh-CN"/>
        </w:rPr>
        <w:t xml:space="preserve">also </w:t>
      </w:r>
      <w:r>
        <w:rPr>
          <w:rFonts w:hint="eastAsia"/>
          <w:lang w:val="en-US" w:eastAsia="zh-CN"/>
        </w:rPr>
        <w:t>be</w:t>
      </w:r>
      <w:r>
        <w:rPr>
          <w:lang w:val="en-US" w:eastAsia="zh-CN"/>
        </w:rPr>
        <w:t xml:space="preserve"> supported</w:t>
      </w:r>
      <w:r>
        <w:rPr>
          <w:rFonts w:hint="eastAsia"/>
          <w:lang w:val="en-US" w:eastAsia="zh-CN"/>
        </w:rPr>
        <w:t xml:space="preserve">. This encompasses FR1 licensed FDD cell(s) with SCS1, FR1 licensed TDD cell(s) with SCS2 and FR2-1 cell(s) with SCS3. For instance, an operator in China might </w:t>
      </w:r>
      <w:r>
        <w:rPr>
          <w:lang w:val="en-US" w:eastAsia="zh-CN"/>
        </w:rPr>
        <w:t xml:space="preserve">deploy one </w:t>
      </w:r>
      <w:r>
        <w:rPr>
          <w:rFonts w:hint="eastAsia"/>
          <w:lang w:val="en-US" w:eastAsia="zh-CN"/>
        </w:rPr>
        <w:t xml:space="preserve">FDD </w:t>
      </w:r>
      <w:r>
        <w:rPr>
          <w:lang w:val="en-US" w:eastAsia="zh-CN"/>
        </w:rPr>
        <w:t xml:space="preserve">cell </w:t>
      </w:r>
      <w:r>
        <w:rPr>
          <w:rFonts w:hint="eastAsia"/>
          <w:lang w:val="en-US" w:eastAsia="zh-CN"/>
        </w:rPr>
        <w:t>at 700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2.6 GHz, </w:t>
      </w:r>
      <w:r>
        <w:rPr>
          <w:lang w:val="en-US" w:eastAsia="zh-CN"/>
        </w:rPr>
        <w:t>and</w:t>
      </w:r>
      <w:r>
        <w:rPr>
          <w:rFonts w:hint="eastAsia"/>
          <w:lang w:val="en-US" w:eastAsia="zh-CN"/>
        </w:rPr>
        <w:t xml:space="preserve"> an FR2-1 </w:t>
      </w:r>
      <w:r>
        <w:rPr>
          <w:lang w:val="en-US" w:eastAsia="zh-CN"/>
        </w:rPr>
        <w:t>cell</w:t>
      </w:r>
      <w:r>
        <w:rPr>
          <w:rFonts w:hint="eastAsia"/>
          <w:lang w:val="en-US" w:eastAsia="zh-CN"/>
        </w:rPr>
        <w:t xml:space="preserve"> </w:t>
      </w:r>
      <w:r>
        <w:rPr>
          <w:lang w:val="en-US" w:eastAsia="zh-CN"/>
        </w:rPr>
        <w:t>at</w:t>
      </w:r>
      <w:r>
        <w:rPr>
          <w:rFonts w:hint="eastAsia"/>
          <w:lang w:val="en-US" w:eastAsia="zh-CN"/>
        </w:rPr>
        <w:t xml:space="preserve"> 26 GHz. Another Chinese operator could utilize a similar </w:t>
      </w:r>
      <w:r>
        <w:rPr>
          <w:lang w:val="en-US" w:eastAsia="zh-CN"/>
        </w:rPr>
        <w:t>deployment</w:t>
      </w:r>
      <w:r>
        <w:rPr>
          <w:rFonts w:hint="eastAsia"/>
          <w:lang w:val="en-US" w:eastAsia="zh-CN"/>
        </w:rPr>
        <w:t xml:space="preserve"> with </w:t>
      </w:r>
      <w:r>
        <w:rPr>
          <w:lang w:val="en-US" w:eastAsia="zh-CN"/>
        </w:rPr>
        <w:t xml:space="preserve">one </w:t>
      </w:r>
      <w:r>
        <w:rPr>
          <w:rFonts w:hint="eastAsia"/>
          <w:lang w:val="en-US" w:eastAsia="zh-CN"/>
        </w:rPr>
        <w:t xml:space="preserve">FDD </w:t>
      </w:r>
      <w:r>
        <w:rPr>
          <w:lang w:val="en-US" w:eastAsia="zh-CN"/>
        </w:rPr>
        <w:t xml:space="preserve">cell </w:t>
      </w:r>
      <w:r>
        <w:rPr>
          <w:rFonts w:hint="eastAsia"/>
          <w:lang w:val="en-US" w:eastAsia="zh-CN"/>
        </w:rPr>
        <w:t>at 2.1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3.5 GHz, </w:t>
      </w:r>
      <w:r>
        <w:rPr>
          <w:lang w:val="en-US" w:eastAsia="zh-CN"/>
        </w:rPr>
        <w:t>and</w:t>
      </w:r>
      <w:r>
        <w:rPr>
          <w:rFonts w:hint="eastAsia"/>
          <w:lang w:val="en-US" w:eastAsia="zh-CN"/>
        </w:rPr>
        <w:t xml:space="preserve"> an FR2-1 cell </w:t>
      </w:r>
      <w:r>
        <w:rPr>
          <w:lang w:val="en-US" w:eastAsia="zh-CN"/>
        </w:rPr>
        <w:t>at</w:t>
      </w:r>
      <w:r>
        <w:rPr>
          <w:rFonts w:hint="eastAsia"/>
          <w:lang w:val="en-US" w:eastAsia="zh-CN"/>
        </w:rPr>
        <w:t xml:space="preserve"> 26 GHz</w:t>
      </w:r>
      <w:r>
        <w:rPr>
          <w:lang w:val="en-US" w:eastAsia="zh-CN"/>
        </w:rPr>
        <w:t xml:space="preserve"> for multi-cell scheduling</w:t>
      </w:r>
      <w:r>
        <w:rPr>
          <w:rFonts w:hint="eastAsia"/>
          <w:lang w:val="en-US" w:eastAsia="zh-CN"/>
        </w:rPr>
        <w:t>.</w:t>
      </w:r>
      <w:r>
        <w:rPr>
          <w:lang w:val="en-US" w:eastAsia="zh-CN"/>
        </w:rPr>
        <w:t xml:space="preserve"> It should be noted there is no extra standardization efforts compared with two SCS cases.</w:t>
      </w:r>
    </w:p>
    <w:p>
      <w:pPr>
        <w:spacing w:before="120" w:beforeLines="50"/>
        <w:rPr>
          <w:i/>
          <w:lang w:val="en-US" w:eastAsia="zh-CN"/>
        </w:rPr>
      </w:pPr>
      <w:r>
        <w:rPr>
          <w:rFonts w:hint="eastAsia"/>
          <w:b/>
          <w:bCs/>
          <w:i/>
          <w:lang w:val="en-US" w:eastAsia="zh-CN"/>
        </w:rPr>
        <w:t>Proposal 1:</w:t>
      </w:r>
      <w:r>
        <w:rPr>
          <w:rFonts w:hint="eastAsia"/>
          <w:i/>
          <w:lang w:val="en-US" w:eastAsia="zh-CN"/>
        </w:rPr>
        <w:t xml:space="preserve"> Consider the case involving three different SCS can be scheduled by a DCI format 0_3/1_3 in Rel-19.</w:t>
      </w:r>
    </w:p>
    <w:p>
      <w:pPr>
        <w:numPr>
          <w:ilvl w:val="0"/>
          <w:numId w:val="15"/>
        </w:numPr>
        <w:snapToGrid w:val="0"/>
        <w:spacing w:after="60"/>
        <w:rPr>
          <w:rFonts w:eastAsia="MS Mincho"/>
          <w:bCs/>
          <w:i/>
          <w:color w:val="000000"/>
          <w:lang w:eastAsia="ja-JP"/>
        </w:rPr>
      </w:pPr>
      <w:r>
        <w:rPr>
          <w:rFonts w:eastAsia="MS Mincho"/>
          <w:bCs/>
          <w:i/>
          <w:color w:val="000000"/>
          <w:lang w:eastAsia="ja-JP"/>
        </w:rPr>
        <w:t xml:space="preserve">Case </w:t>
      </w:r>
      <w:r>
        <w:rPr>
          <w:rFonts w:hint="eastAsia"/>
          <w:bCs/>
          <w:i/>
          <w:color w:val="000000"/>
          <w:lang w:val="en-US" w:eastAsia="zh-CN"/>
        </w:rPr>
        <w:t>7</w:t>
      </w:r>
      <w:r>
        <w:rPr>
          <w:rFonts w:eastAsia="MS Mincho"/>
          <w:bCs/>
          <w:i/>
          <w:color w:val="000000"/>
          <w:lang w:eastAsia="ja-JP"/>
        </w:rPr>
        <w:t xml:space="preserve">: A DCI format 0_3/1_3 scheduling PUSCHs/PDSCHs on FR1 licensed </w:t>
      </w:r>
      <w:r>
        <w:rPr>
          <w:rFonts w:hint="eastAsia"/>
          <w:bCs/>
          <w:i/>
          <w:color w:val="000000"/>
          <w:lang w:val="en-US" w:eastAsia="zh-CN"/>
        </w:rPr>
        <w:t>F</w:t>
      </w:r>
      <w:r>
        <w:rPr>
          <w:rFonts w:eastAsia="MS Mincho"/>
          <w:bCs/>
          <w:i/>
          <w:color w:val="000000"/>
          <w:lang w:eastAsia="ja-JP"/>
        </w:rPr>
        <w:t>DD cell(s) with SCS1</w:t>
      </w:r>
      <w:r>
        <w:rPr>
          <w:rFonts w:hint="eastAsia"/>
          <w:bCs/>
          <w:i/>
          <w:color w:val="000000"/>
          <w:lang w:val="en-US" w:eastAsia="zh-CN"/>
        </w:rPr>
        <w:t>,</w:t>
      </w:r>
      <w:r>
        <w:rPr>
          <w:rFonts w:eastAsia="MS Mincho"/>
          <w:bCs/>
          <w:i/>
          <w:color w:val="000000"/>
          <w:lang w:eastAsia="ja-JP"/>
        </w:rPr>
        <w:t xml:space="preserve"> </w:t>
      </w:r>
      <w:r>
        <w:rPr>
          <w:rFonts w:hint="eastAsia"/>
          <w:bCs/>
          <w:i/>
          <w:color w:val="000000"/>
          <w:lang w:val="en-US" w:eastAsia="zh-CN"/>
        </w:rPr>
        <w:t>T</w:t>
      </w:r>
      <w:r>
        <w:rPr>
          <w:rFonts w:eastAsia="MS Mincho"/>
          <w:bCs/>
          <w:i/>
          <w:color w:val="000000"/>
          <w:lang w:eastAsia="ja-JP"/>
        </w:rPr>
        <w:t>DD cell(s) with SCS</w:t>
      </w:r>
      <w:r>
        <w:rPr>
          <w:rFonts w:hint="eastAsia"/>
          <w:bCs/>
          <w:i/>
          <w:color w:val="000000"/>
          <w:lang w:val="en-US" w:eastAsia="zh-CN"/>
        </w:rPr>
        <w:t xml:space="preserve">2 </w:t>
      </w:r>
      <w:r>
        <w:rPr>
          <w:rFonts w:hint="eastAsia" w:eastAsia="MS Mincho"/>
          <w:bCs/>
          <w:i/>
          <w:color w:val="000000"/>
          <w:lang w:eastAsia="ja-JP"/>
        </w:rPr>
        <w:t>and FR2</w:t>
      </w:r>
      <w:r>
        <w:rPr>
          <w:rFonts w:eastAsia="MS Mincho"/>
          <w:bCs/>
          <w:i/>
          <w:color w:val="000000"/>
          <w:lang w:eastAsia="ja-JP"/>
        </w:rPr>
        <w:t>-1</w:t>
      </w:r>
      <w:r>
        <w:rPr>
          <w:rFonts w:hint="eastAsia" w:eastAsia="MS Mincho"/>
          <w:bCs/>
          <w:i/>
          <w:color w:val="000000"/>
          <w:lang w:eastAsia="ja-JP"/>
        </w:rPr>
        <w:t xml:space="preserve"> cell(s) </w:t>
      </w:r>
      <w:r>
        <w:rPr>
          <w:rFonts w:eastAsia="MS Mincho"/>
          <w:bCs/>
          <w:i/>
          <w:color w:val="000000"/>
          <w:lang w:eastAsia="ja-JP"/>
        </w:rPr>
        <w:t>with SC</w:t>
      </w:r>
      <w:r>
        <w:rPr>
          <w:rFonts w:hint="eastAsia" w:eastAsia="MS Mincho"/>
          <w:bCs/>
          <w:i/>
          <w:color w:val="000000"/>
          <w:lang w:eastAsia="ja-JP"/>
        </w:rPr>
        <w:t>S</w:t>
      </w:r>
      <w:r>
        <w:rPr>
          <w:rFonts w:hint="eastAsia"/>
          <w:bCs/>
          <w:i/>
          <w:color w:val="000000"/>
          <w:lang w:val="en-US" w:eastAsia="zh-CN"/>
        </w:rPr>
        <w:t>3</w:t>
      </w:r>
      <w:r>
        <w:rPr>
          <w:rFonts w:hint="eastAsia" w:eastAsia="MS Mincho"/>
          <w:bCs/>
          <w:i/>
          <w:color w:val="000000"/>
          <w:lang w:eastAsia="ja-JP"/>
        </w:rPr>
        <w:t>.</w:t>
      </w:r>
      <w:r>
        <w:rPr>
          <w:rFonts w:eastAsia="MS Mincho"/>
          <w:bCs/>
          <w:i/>
          <w:color w:val="000000"/>
          <w:lang w:eastAsia="ja-JP"/>
        </w:rPr>
        <w:t xml:space="preserve"> </w:t>
      </w:r>
    </w:p>
    <w:p>
      <w:pPr>
        <w:numPr>
          <w:ilvl w:val="1"/>
          <w:numId w:val="15"/>
        </w:numPr>
        <w:snapToGrid w:val="0"/>
        <w:spacing w:after="60"/>
        <w:rPr>
          <w:rFonts w:eastAsia="MS Mincho"/>
          <w:bCs/>
          <w:i/>
          <w:color w:val="000000"/>
          <w:lang w:eastAsia="ja-JP"/>
        </w:rPr>
      </w:pPr>
      <w:r>
        <w:rPr>
          <w:rFonts w:eastAsia="MS Mincho"/>
          <w:bCs/>
          <w:i/>
          <w:color w:val="000000"/>
          <w:lang w:eastAsia="ja-JP"/>
        </w:rPr>
        <w:t>SCS1</w:t>
      </w:r>
      <w:r>
        <w:rPr>
          <w:rFonts w:hint="eastAsia"/>
          <w:bCs/>
          <w:i/>
          <w:color w:val="000000"/>
          <w:lang w:val="en-US" w:eastAsia="zh-CN"/>
        </w:rPr>
        <w:t>, SCS2 and SCS3</w:t>
      </w:r>
      <w:r>
        <w:rPr>
          <w:rFonts w:eastAsia="MS Mincho"/>
          <w:bCs/>
          <w:i/>
          <w:color w:val="000000"/>
          <w:lang w:eastAsia="ja-JP"/>
        </w:rPr>
        <w:t xml:space="preserve"> can be same or different.</w:t>
      </w:r>
    </w:p>
    <w:p>
      <w:pPr>
        <w:pStyle w:val="2"/>
      </w:pPr>
      <w:r>
        <w:rPr>
          <w:rFonts w:hint="eastAsia"/>
          <w:lang w:val="en-US" w:eastAsia="zh-CN"/>
        </w:rPr>
        <w:t>HARQ-ACK feedback timing</w:t>
      </w:r>
    </w:p>
    <w:p>
      <w:pPr>
        <w:rPr>
          <w:iCs/>
          <w:lang w:val="en-US" w:eastAsia="zh-CN"/>
        </w:rPr>
      </w:pPr>
      <w:r>
        <w:rPr>
          <w:rFonts w:hint="eastAsia"/>
          <w:iCs/>
          <w:lang w:val="en-US" w:eastAsia="zh-CN"/>
        </w:rPr>
        <w:t>In RAN1#120, the agreement on HARQ-ACK feedback timing was reached</w:t>
      </w:r>
      <w:r>
        <w:rPr>
          <w:iCs/>
          <w:lang w:val="en-US" w:eastAsia="zh-CN"/>
        </w:rPr>
        <w:t xml:space="preserve"> as below</w:t>
      </w:r>
      <w:r>
        <w:rPr>
          <w:rFonts w:hint="eastAsia"/>
          <w:iCs/>
          <w:lang w:val="en-US" w:eastAsia="zh-CN"/>
        </w:rPr>
        <w:t xml:space="preserve">. The remaining issue is whether there </w:t>
      </w:r>
      <w:r>
        <w:rPr>
          <w:iCs/>
          <w:lang w:val="en-US" w:eastAsia="zh-CN"/>
        </w:rPr>
        <w:t>is</w:t>
      </w:r>
      <w:r>
        <w:rPr>
          <w:rFonts w:hint="eastAsia"/>
          <w:iCs/>
          <w:lang w:val="en-US" w:eastAsia="zh-CN"/>
        </w:rPr>
        <w:t xml:space="preserve"> RAN1 spec impact or not</w:t>
      </w:r>
      <w:r>
        <w:rPr>
          <w:iCs/>
          <w:lang w:val="en-US" w:eastAsia="zh-CN"/>
        </w:rPr>
        <w:t xml:space="preserve"> for slot-based HARQ-ACK feedback</w:t>
      </w:r>
      <w:r>
        <w:rPr>
          <w:rFonts w:hint="eastAsia"/>
          <w:iCs/>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等线"/>
                <w:highlight w:val="green"/>
                <w:lang w:eastAsia="zh-CN"/>
              </w:rPr>
            </w:pPr>
            <w:r>
              <w:rPr>
                <w:rFonts w:hint="eastAsia" w:eastAsia="等线"/>
                <w:highlight w:val="green"/>
                <w:lang w:eastAsia="zh-CN"/>
              </w:rPr>
              <w:t>Agreement</w:t>
            </w:r>
          </w:p>
          <w:p>
            <w:pPr>
              <w:pStyle w:val="33"/>
              <w:numPr>
                <w:ilvl w:val="0"/>
                <w:numId w:val="14"/>
              </w:numPr>
              <w:contextualSpacing/>
              <w:rPr>
                <w:rFonts w:cs="Times"/>
              </w:rPr>
            </w:pPr>
            <w:r>
              <w:rPr>
                <w:rFonts w:cs="Times"/>
              </w:rPr>
              <w:t>For determining the timing of a PUCCH carrying HARQ-ACK information corresponding to a set of co-scheduled PDSCHs by a DCI format 1_3, follow Rel-18 operation.</w:t>
            </w:r>
          </w:p>
          <w:p>
            <w:pPr>
              <w:pStyle w:val="33"/>
              <w:numPr>
                <w:ilvl w:val="0"/>
                <w:numId w:val="15"/>
              </w:numPr>
              <w:contextualSpacing/>
              <w:rPr>
                <w:rFonts w:eastAsia="MS Mincho"/>
                <w:bCs/>
                <w:color w:val="000000"/>
                <w:lang w:eastAsia="ja-JP"/>
              </w:rPr>
            </w:pPr>
            <w:r>
              <w:rPr>
                <w:color w:val="000000"/>
              </w:rPr>
              <w:t xml:space="preserve">If the UE is </w:t>
            </w:r>
            <w:r>
              <w:rPr>
                <w:rFonts w:hint="eastAsia" w:eastAsia="MS Mincho"/>
                <w:color w:val="000000"/>
                <w:lang w:eastAsia="ja-JP"/>
              </w:rPr>
              <w:t xml:space="preserve">not </w:t>
            </w:r>
            <w:r>
              <w:rPr>
                <w:color w:val="000000"/>
              </w:rPr>
              <w:t xml:space="preserve">provided </w:t>
            </w:r>
            <w:r>
              <w:rPr>
                <w:i/>
                <w:iCs/>
                <w:color w:val="000000"/>
              </w:rPr>
              <w:t>subslotLengthForPUCCH</w:t>
            </w:r>
            <w:r>
              <w:rPr>
                <w:color w:val="000000"/>
              </w:rPr>
              <w:t xml:space="preserve">, the DL slot </w:t>
            </w:r>
            <w:r>
              <w:rPr>
                <w:rFonts w:ascii="Cambria Math" w:hAnsi="Cambria Math" w:cs="Cambria Math"/>
                <w:color w:val="000000"/>
              </w:rPr>
              <w:t>𝑛</w:t>
            </w:r>
            <w:r>
              <w:rPr>
                <w:rFonts w:ascii="Cambria Math" w:hAnsi="Cambria Math" w:cs="Cambria Math"/>
                <w:color w:val="000000"/>
                <w:sz w:val="14"/>
                <w:szCs w:val="14"/>
              </w:rPr>
              <w:t xml:space="preserve">𝐷 </w:t>
            </w:r>
            <w:r>
              <w:rPr>
                <w:rFonts w:hint="eastAsia" w:eastAsia="MS Mincho"/>
                <w:color w:val="000000"/>
                <w:lang w:eastAsia="ja-JP"/>
              </w:rPr>
              <w:t xml:space="preserve">is the DL slot ending last, amongst the DL slots where </w:t>
            </w:r>
            <w:r>
              <w:rPr>
                <w:color w:val="000000"/>
              </w:rPr>
              <w:t xml:space="preserve">the more than one PDSCH </w:t>
            </w:r>
            <w:r>
              <w:rPr>
                <w:rFonts w:hint="eastAsia" w:eastAsia="MS Mincho"/>
                <w:color w:val="000000"/>
                <w:lang w:eastAsia="ja-JP"/>
              </w:rPr>
              <w:t>are scheduled by the DCI format 1_3</w:t>
            </w:r>
            <w:r>
              <w:rPr>
                <w:color w:val="000000"/>
              </w:rPr>
              <w:t>.</w:t>
            </w:r>
          </w:p>
          <w:p>
            <w:pPr>
              <w:pStyle w:val="33"/>
              <w:numPr>
                <w:ilvl w:val="1"/>
                <w:numId w:val="15"/>
              </w:numPr>
              <w:snapToGrid w:val="0"/>
              <w:contextualSpacing/>
              <w:rPr>
                <w:color w:val="000000"/>
              </w:rPr>
            </w:pPr>
            <w:r>
              <w:rPr>
                <w:rFonts w:hint="eastAsia"/>
                <w:color w:val="000000"/>
              </w:rPr>
              <w:t>FFS: RAN1 spec impact</w:t>
            </w:r>
            <w:r>
              <w:rPr>
                <w:rFonts w:hint="eastAsia" w:eastAsia="等线"/>
                <w:color w:val="000000"/>
                <w:lang w:eastAsia="zh-CN"/>
              </w:rPr>
              <w:t xml:space="preserve"> till RAN1#120-bis</w:t>
            </w:r>
          </w:p>
          <w:p>
            <w:pPr>
              <w:pStyle w:val="33"/>
              <w:numPr>
                <w:ilvl w:val="0"/>
                <w:numId w:val="15"/>
              </w:numPr>
              <w:contextualSpacing/>
              <w:rPr>
                <w:color w:val="000000"/>
              </w:rPr>
            </w:pPr>
            <w:r>
              <w:rPr>
                <w:color w:val="000000"/>
              </w:rPr>
              <w:t xml:space="preserve">If the UE is provided </w:t>
            </w:r>
            <w:r>
              <w:rPr>
                <w:i/>
                <w:iCs/>
                <w:color w:val="000000"/>
              </w:rPr>
              <w:t>subslotLengthForPUCCH</w:t>
            </w:r>
            <w:r>
              <w:rPr>
                <w:rFonts w:hint="eastAsia" w:eastAsia="MS Mincho"/>
                <w:color w:val="000000"/>
                <w:lang w:eastAsia="ja-JP"/>
              </w:rPr>
              <w:t>, no spec change is necessary.</w:t>
            </w:r>
          </w:p>
          <w:p>
            <w:pPr>
              <w:pStyle w:val="33"/>
              <w:numPr>
                <w:ilvl w:val="0"/>
                <w:numId w:val="14"/>
              </w:numPr>
              <w:spacing w:after="0"/>
              <w:ind w:left="363" w:hanging="363"/>
              <w:contextualSpacing/>
              <w:rPr>
                <w:rFonts w:eastAsia="等线"/>
              </w:rPr>
            </w:pPr>
            <w:r>
              <w:rPr>
                <w:rFonts w:hint="eastAsia" w:eastAsia="楷体"/>
              </w:rPr>
              <w:t xml:space="preserve">Note: </w:t>
            </w:r>
            <w:r>
              <w:rPr>
                <w:rFonts w:eastAsia="楷体"/>
                <w:lang w:eastAsia="ja-JP"/>
              </w:rPr>
              <w:t>Specification of this feature shall not impact the existing UE processing PDSCH timeline requirement for any individual PDSCH, as specified in 5.3.1 of TS38.214.</w:t>
            </w:r>
          </w:p>
          <w:p>
            <w:pPr>
              <w:snapToGrid w:val="0"/>
              <w:spacing w:after="0"/>
              <w:rPr>
                <w:iCs/>
                <w:lang w:val="en-US" w:eastAsia="zh-CN"/>
              </w:rPr>
            </w:pPr>
          </w:p>
        </w:tc>
      </w:tr>
    </w:tbl>
    <w:p>
      <w:pPr>
        <w:spacing w:before="120" w:beforeLines="50"/>
        <w:rPr>
          <w:iCs/>
          <w:lang w:val="en-US" w:eastAsia="zh-CN"/>
        </w:rPr>
      </w:pPr>
      <w:r>
        <w:rPr>
          <w:rFonts w:hint="eastAsia"/>
          <w:iCs/>
          <w:lang w:val="en-US" w:eastAsia="zh-CN"/>
        </w:rPr>
        <w:t xml:space="preserve">Based on </w:t>
      </w:r>
      <w:r>
        <w:rPr>
          <w:iCs/>
          <w:lang w:val="en-US" w:eastAsia="zh-CN"/>
        </w:rPr>
        <w:t xml:space="preserve">the </w:t>
      </w:r>
      <w:r>
        <w:rPr>
          <w:rFonts w:hint="eastAsia"/>
          <w:iCs/>
          <w:lang w:val="en-US" w:eastAsia="zh-CN"/>
        </w:rPr>
        <w:t xml:space="preserve">current spec, </w:t>
      </w:r>
      <w:r>
        <w:rPr>
          <w:bCs/>
          <w:lang w:val="en-US" w:eastAsia="zh-CN"/>
        </w:rPr>
        <w:t>if</w:t>
      </w:r>
      <w:r>
        <w:rPr>
          <w:rFonts w:eastAsia="MS Mincho"/>
          <w:bCs/>
          <w:lang w:eastAsia="ja-JP"/>
        </w:rPr>
        <w:t xml:space="preserve"> more than one PDSCH </w:t>
      </w:r>
      <w:r>
        <w:rPr>
          <w:rFonts w:hint="eastAsia"/>
          <w:bCs/>
          <w:lang w:val="en-US" w:eastAsia="zh-CN"/>
        </w:rPr>
        <w:t>end last</w:t>
      </w:r>
      <w:r>
        <w:rPr>
          <w:rFonts w:eastAsia="MS Mincho"/>
          <w:bCs/>
          <w:lang w:eastAsia="ja-JP"/>
        </w:rPr>
        <w:t xml:space="preserve"> </w:t>
      </w:r>
      <w:r>
        <w:rPr>
          <w:rFonts w:ascii="Times" w:hAnsi="Times" w:cs="Times"/>
        </w:rPr>
        <w:t>among the set of co-scheduled PDSCHs</w:t>
      </w:r>
      <w:r>
        <w:rPr>
          <w:rFonts w:hint="eastAsia" w:ascii="Times" w:hAnsi="Times" w:cs="Times"/>
          <w:lang w:val="en-US" w:eastAsia="zh-CN"/>
        </w:rPr>
        <w:t xml:space="preserve">, it seems </w:t>
      </w:r>
      <w:r>
        <w:rPr>
          <w:rFonts w:ascii="Times" w:hAnsi="Times" w:cs="Times"/>
          <w:lang w:val="en-US" w:eastAsia="zh-CN"/>
        </w:rPr>
        <w:t xml:space="preserve">the above agreement has been reflected by the </w:t>
      </w:r>
      <w:r>
        <w:rPr>
          <w:rFonts w:hint="eastAsia" w:ascii="Times" w:hAnsi="Times" w:cs="Times"/>
          <w:lang w:val="en-US" w:eastAsia="zh-CN"/>
        </w:rPr>
        <w:t>current spec as analyzed below</w:t>
      </w:r>
      <w:r>
        <w:rPr>
          <w:rFonts w:hint="eastAsia"/>
          <w:iCs/>
          <w:lang w:val="en-US" w:eastAsia="zh-CN"/>
        </w:rPr>
        <w:t>.</w:t>
      </w:r>
    </w:p>
    <w:p>
      <w:pPr>
        <w:numPr>
          <w:ilvl w:val="0"/>
          <w:numId w:val="14"/>
        </w:numPr>
        <w:snapToGrid w:val="0"/>
        <w:ind w:left="357" w:hanging="357"/>
        <w:rPr>
          <w:rFonts w:ascii="Times" w:hAnsi="Times" w:eastAsia="Batang"/>
        </w:rPr>
      </w:pPr>
      <w:r>
        <w:rPr>
          <w:rFonts w:ascii="Times" w:hAnsi="Times" w:eastAsia="Batang"/>
        </w:rPr>
        <w:t xml:space="preserve">For slot-based PUCCH, the PUCCH slot is determined based on the last UL slot overlapping with the DL slot of the PDSCH in the current spec. The last UL slot overlapping with the DL slot of the PDSCH is exactly overlapping with the DL slot ending last. It means that the DL slot ending last is used for PUCCH slot determination. </w:t>
      </w:r>
      <w:r>
        <w:rPr>
          <w:rFonts w:hint="eastAsia" w:ascii="Times" w:hAnsi="Times"/>
          <w:lang w:val="en-US" w:eastAsia="zh-CN"/>
        </w:rPr>
        <w:t>As a result</w:t>
      </w:r>
      <w:r>
        <w:rPr>
          <w:rFonts w:ascii="Times" w:hAnsi="Times" w:eastAsia="Batang"/>
        </w:rPr>
        <w:t xml:space="preserve">, the </w:t>
      </w:r>
      <w:r>
        <w:rPr>
          <w:rFonts w:hint="eastAsia" w:ascii="Times" w:hAnsi="Times"/>
          <w:lang w:val="en-US" w:eastAsia="zh-CN"/>
        </w:rPr>
        <w:t>current spec</w:t>
      </w:r>
      <w:r>
        <w:rPr>
          <w:rFonts w:ascii="Times" w:hAnsi="Times"/>
          <w:lang w:val="en-US" w:eastAsia="zh-CN"/>
        </w:rPr>
        <w:t xml:space="preserve"> is in line with the agreement</w:t>
      </w:r>
      <w:r>
        <w:rPr>
          <w:rFonts w:ascii="Times" w:hAnsi="Times" w:eastAsia="Batang"/>
        </w:rPr>
        <w:t>. In addition, it should be noted this agreement follows the principle of Rel-18. For the agreement reached in Rel-18, there is no spec impact finally. There should be no spec impact for this similar agreement as well.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napToGrid w:val="0"/>
              <w:spacing w:after="60"/>
              <w:rPr>
                <w:lang w:val="en-US" w:eastAsia="zh-CN"/>
              </w:rPr>
            </w:pPr>
            <w:r>
              <w:rPr>
                <w:rFonts w:hint="eastAsia"/>
                <w:lang w:val="en-US" w:eastAsia="zh-CN"/>
              </w:rPr>
              <w:t>Current spec:</w:t>
            </w:r>
          </w:p>
          <w:p>
            <w:pPr>
              <w:numPr>
                <w:ilvl w:val="255"/>
                <w:numId w:val="0"/>
              </w:numPr>
              <w:snapToGrid w:val="0"/>
              <w:spacing w:after="60"/>
              <w:rPr>
                <w:rFonts w:ascii="Times" w:hAnsi="Times" w:eastAsia="Batang"/>
              </w:rPr>
            </w:pPr>
            <w:r>
              <w:t xml:space="preserve">If </w:t>
            </w:r>
            <w:r>
              <w:rPr>
                <w:lang w:val="en-US"/>
              </w:rPr>
              <w:t xml:space="preserve">the UE is provided </w:t>
            </w:r>
            <w:r>
              <w:rPr>
                <w:i/>
                <w:iCs/>
                <w:lang w:val="en-US"/>
              </w:rPr>
              <w:t>subslotLengthForPUCCH</w:t>
            </w:r>
            <w:r>
              <w:rPr>
                <w:lang w:val="en-US"/>
              </w:rPr>
              <w:t xml:space="preserve">, </w:t>
            </w:r>
            <m:oMath>
              <m:r>
                <m:rPr/>
                <w:rPr>
                  <w:rFonts w:ascii="Cambria Math" w:hAnsi="Cambria Math"/>
                </w:rPr>
                <m:t>n</m:t>
              </m:r>
            </m:oMath>
            <w:r>
              <w:t xml:space="preserve"> is the last UL slot for PUCCH transmission that overlaps with a PDSCH reception or with a PDCCH reception providing a DCI format having associated HARQ-ACK information without scheduling a PDSCH reception; otherwise, </w:t>
            </w:r>
            <m:oMath>
              <m:r>
                <m:rPr/>
                <w:rPr>
                  <w:rFonts w:ascii="Cambria Math" w:hAnsi="Cambria Math"/>
                  <w:highlight w:val="cyan"/>
                </w:rPr>
                <m:t>n</m:t>
              </m:r>
            </m:oMath>
            <w:r>
              <w:rPr>
                <w:highlight w:val="cyan"/>
              </w:rPr>
              <w:t xml:space="preserve"> is the last UL slot for PUCCH transmission that overlaps with the DL slot </w:t>
            </w:r>
            <m:oMath>
              <m:sSub>
                <m:sSubPr>
                  <m:ctrlPr>
                    <w:rPr>
                      <w:rFonts w:ascii="Cambria Math" w:hAnsi="Cambria Math"/>
                      <w:i/>
                      <w:highlight w:val="cyan"/>
                      <w:lang w:val="zh-CN"/>
                    </w:rPr>
                  </m:ctrlPr>
                </m:sSubPr>
                <m:e>
                  <m:r>
                    <m:rPr/>
                    <w:rPr>
                      <w:rFonts w:ascii="Cambria Math" w:hAnsi="Cambria Math"/>
                      <w:highlight w:val="cyan"/>
                      <w:lang w:val="zh-CN"/>
                    </w:rPr>
                    <m:t>n</m:t>
                  </m:r>
                  <m:ctrlPr>
                    <w:rPr>
                      <w:rFonts w:ascii="Cambria Math" w:hAnsi="Cambria Math"/>
                      <w:i/>
                      <w:highlight w:val="cyan"/>
                      <w:lang w:val="zh-CN"/>
                    </w:rPr>
                  </m:ctrlPr>
                </m:e>
                <m:sub>
                  <m:r>
                    <m:rPr/>
                    <w:rPr>
                      <w:rFonts w:ascii="Cambria Math" w:hAnsi="Cambria Math"/>
                      <w:highlight w:val="cyan"/>
                      <w:lang w:val="zh-CN"/>
                    </w:rPr>
                    <m:t>D</m:t>
                  </m:r>
                  <m:ctrlPr>
                    <w:rPr>
                      <w:rFonts w:ascii="Cambria Math" w:hAnsi="Cambria Math"/>
                      <w:i/>
                      <w:highlight w:val="cyan"/>
                      <w:lang w:val="zh-CN"/>
                    </w:rPr>
                  </m:ctrlPr>
                </m:sub>
              </m:sSub>
            </m:oMath>
            <w:r>
              <w:rPr>
                <w:highlight w:val="cyan"/>
                <w:lang w:val="en-US"/>
              </w:rPr>
              <w:t xml:space="preserve"> </w:t>
            </w:r>
            <w:r>
              <w:rPr>
                <w:highlight w:val="cyan"/>
              </w:rPr>
              <w:t>for the PDSCH reception</w:t>
            </w:r>
            <w:r>
              <w:t xml:space="preserve"> or with the DL slot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w:rPr>
                      <w:rFonts w:ascii="Cambria Math" w:hAnsi="Cambria Math"/>
                      <w:lang w:val="zh-CN"/>
                    </w:rPr>
                    <m:t>D</m:t>
                  </m:r>
                  <m:ctrlPr>
                    <w:rPr>
                      <w:rFonts w:ascii="Cambria Math" w:hAnsi="Cambria Math"/>
                      <w:i/>
                      <w:lang w:val="zh-CN"/>
                    </w:rPr>
                  </m:ctrlPr>
                </m:sub>
              </m:sSub>
              <m:r>
                <m:rPr/>
                <w:rPr>
                  <w:rFonts w:ascii="Cambria Math" w:hAnsi="Cambria Math"/>
                  <w:lang w:val="en-US"/>
                </w:rPr>
                <m:t xml:space="preserve"> </m:t>
              </m:r>
            </m:oMath>
            <w:r>
              <w:t>for the PDCCH reception in case of a DCI format that triggers a HARQ-ACK information report and does not schedule a PDSCH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autoSpaceDE w:val="0"/>
              <w:autoSpaceDN w:val="0"/>
              <w:adjustRightInd w:val="0"/>
              <w:spacing w:after="120"/>
            </w:pPr>
            <w:r>
              <w:t xml:space="preserve">If the UE detects </w:t>
            </w:r>
            <w:r>
              <w:rPr>
                <w:highlight w:val="cyan"/>
              </w:rPr>
              <w:t xml:space="preserve">a DCI format scheduling a number of PDSCH receptions ending in DL slot </w:t>
            </w:r>
            <m:oMath>
              <m:sSub>
                <m:sSubPr>
                  <m:ctrlPr>
                    <w:rPr>
                      <w:rFonts w:ascii="Cambria Math" w:hAnsi="Cambria Math"/>
                      <w:i/>
                      <w:highlight w:val="cyan"/>
                      <w:lang w:val="zh-CN"/>
                    </w:rPr>
                  </m:ctrlPr>
                </m:sSubPr>
                <m:e>
                  <w:bookmarkStart w:id="0" w:name="_Hlk39321600"/>
                  <m:r>
                    <m:rPr/>
                    <w:rPr>
                      <w:rFonts w:ascii="Cambria Math" w:hAnsi="Cambria Math"/>
                      <w:highlight w:val="cyan"/>
                      <w:lang w:val="zh-CN"/>
                    </w:rPr>
                    <m:t>n</m:t>
                  </m:r>
                  <m:ctrlPr>
                    <w:rPr>
                      <w:rFonts w:ascii="Cambria Math" w:hAnsi="Cambria Math"/>
                      <w:i/>
                      <w:highlight w:val="cyan"/>
                      <w:lang w:val="zh-CN"/>
                    </w:rPr>
                  </m:ctrlPr>
                </m:e>
                <m:sub>
                  <m:r>
                    <m:rPr/>
                    <w:rPr>
                      <w:rFonts w:ascii="Cambria Math" w:hAnsi="Cambria Math"/>
                      <w:highlight w:val="cyan"/>
                      <w:lang w:val="zh-CN"/>
                    </w:rPr>
                    <m:t>D</m:t>
                  </m:r>
                  <w:bookmarkEnd w:id="0"/>
                  <m:ctrlPr>
                    <w:rPr>
                      <w:rFonts w:ascii="Cambria Math" w:hAnsi="Cambria Math"/>
                      <w:i/>
                      <w:highlight w:val="cyan"/>
                      <w:lang w:val="zh-CN"/>
                    </w:rPr>
                  </m:ctrlPr>
                </m:sub>
              </m:sSub>
            </m:oMath>
            <w:r>
              <w:t xml:space="preserve"> or if the UE detects a DCI format generating a HARQ-ACK information bit</w:t>
            </w:r>
            <w:r>
              <w:rPr>
                <w:rFonts w:hint="eastAsia"/>
                <w:lang w:val="en-US" w:eastAsia="zh-CN"/>
              </w:rPr>
              <w:t xml:space="preserve"> </w:t>
            </w:r>
            <w:r>
              <w:t xml:space="preserve">and does not schedule a PDSCH reception through a PDCCH reception ending in DL slot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w:rPr>
                      <w:rFonts w:ascii="Cambria Math" w:hAnsi="Cambria Math"/>
                      <w:lang w:val="zh-CN"/>
                    </w:rPr>
                    <m:t>D</m:t>
                  </m:r>
                  <m:ctrlPr>
                    <w:rPr>
                      <w:rFonts w:ascii="Cambria Math" w:hAnsi="Cambria Math"/>
                      <w:i/>
                      <w:lang w:val="zh-CN"/>
                    </w:rPr>
                  </m:ctrlPr>
                </m:sub>
              </m:sSub>
            </m:oMath>
            <w:r>
              <w:t xml:space="preserve">, the UE provides corresponding HARQ-ACK information in a PUCCH transmission within UL slot </w:t>
            </w:r>
            <m:oMath>
              <m:r>
                <m:rPr/>
                <w:rPr>
                  <w:rFonts w:ascii="Cambria Math" w:hAnsi="Cambria Math"/>
                </w:rPr>
                <m:t>n+k</m:t>
              </m:r>
            </m:oMath>
            <w:r>
              <w:t xml:space="preserve">, where </w:t>
            </w:r>
            <m:oMath>
              <m:r>
                <m:rPr/>
                <w:rPr>
                  <w:rFonts w:ascii="Cambria Math" w:hAnsi="Cambria Math"/>
                </w:rPr>
                <m:t>k</m:t>
              </m:r>
            </m:oMath>
            <w:r>
              <w:t xml:space="preserve"> is a number of slots and is indicated by the PDSCH-to-HARQ_feedback timing indicator field in the DCI format, if present, or provided by </w:t>
            </w:r>
            <w:r>
              <w:rPr>
                <w:i/>
              </w:rPr>
              <w:t>dl-DataToUL-ACK</w:t>
            </w:r>
            <w:r>
              <w:t xml:space="preserve">, </w:t>
            </w:r>
            <w:r>
              <w:rPr>
                <w:i/>
              </w:rPr>
              <w:t>dl-DataToUL-ACK-r16</w:t>
            </w:r>
            <w:r>
              <w:rPr>
                <w:iCs/>
              </w:rPr>
              <w:t xml:space="preserve">, </w:t>
            </w:r>
            <w:r>
              <w:t xml:space="preserve">or </w:t>
            </w:r>
            <w:r>
              <w:rPr>
                <w:i/>
              </w:rPr>
              <w:t>dl-DataToUL-ACK</w:t>
            </w:r>
            <w:r>
              <w:rPr>
                <w:i/>
                <w:lang w:val="en-US"/>
              </w:rPr>
              <w:t>-DCI-1-2</w:t>
            </w:r>
            <w:r>
              <w:t>,</w:t>
            </w:r>
            <w:r>
              <w:rPr>
                <w:iCs/>
              </w:rPr>
              <w:t xml:space="preserve"> </w:t>
            </w:r>
            <w:r>
              <w:t xml:space="preserve">or </w:t>
            </w:r>
            <w:r>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t>,</w:t>
            </w:r>
            <w:r>
              <w:rPr>
                <w:iCs/>
              </w:rPr>
              <w:t xml:space="preserve"> </w:t>
            </w:r>
            <w:r>
              <w:t xml:space="preserve">or </w:t>
            </w:r>
            <w:r>
              <w:rPr>
                <w:i/>
                <w:iCs/>
              </w:rPr>
              <w:t>dl-DataToUL-ACK-v1700</w:t>
            </w:r>
            <w:r>
              <w:t>.</w:t>
            </w:r>
          </w:p>
        </w:tc>
      </w:tr>
    </w:tbl>
    <w:p>
      <w:pPr>
        <w:spacing w:before="120" w:beforeLines="50"/>
        <w:rPr>
          <w:iCs/>
          <w:lang w:val="en-US" w:eastAsia="zh-CN"/>
        </w:rPr>
      </w:pPr>
      <w:r>
        <w:rPr>
          <w:rFonts w:hint="eastAsia"/>
          <w:iCs/>
          <w:lang w:val="en-US" w:eastAsia="zh-CN"/>
        </w:rPr>
        <w:t>Another issue arises when the PUCCH derived by the reference PDSCH is not available for another PDSCH that does not end last, because T</w:t>
      </w:r>
      <w:r>
        <w:rPr>
          <w:rFonts w:hint="eastAsia"/>
          <w:iCs/>
          <w:vertAlign w:val="subscript"/>
          <w:lang w:val="en-US" w:eastAsia="zh-CN"/>
        </w:rPr>
        <w:t>proc,1</w:t>
      </w:r>
      <w:r>
        <w:rPr>
          <w:rFonts w:hint="eastAsia"/>
          <w:iCs/>
          <w:lang w:val="en-US" w:eastAsia="zh-CN"/>
        </w:rPr>
        <w:t xml:space="preserve"> derived by the reference PDSCH is less than that derived by the another PDSCH. </w:t>
      </w:r>
      <w:r>
        <w:rPr>
          <w:iCs/>
          <w:lang w:val="en-US" w:eastAsia="zh-CN"/>
        </w:rPr>
        <w:t>S</w:t>
      </w:r>
      <w:r>
        <w:rPr>
          <w:rFonts w:hint="eastAsia"/>
          <w:iCs/>
          <w:lang w:val="en-US" w:eastAsia="zh-CN"/>
        </w:rPr>
        <w:t xml:space="preserve">ome optimizations </w:t>
      </w:r>
      <w:r>
        <w:rPr>
          <w:iCs/>
          <w:lang w:val="en-US" w:eastAsia="zh-CN"/>
        </w:rPr>
        <w:t>can</w:t>
      </w:r>
      <w:r>
        <w:rPr>
          <w:rFonts w:hint="eastAsia"/>
          <w:iCs/>
          <w:lang w:val="en-US" w:eastAsia="zh-CN"/>
        </w:rPr>
        <w:t xml:space="preserve"> be applicable, i.e., modifying the definition of the reference PDSCH or employing the maximum T</w:t>
      </w:r>
      <w:r>
        <w:rPr>
          <w:rFonts w:hint="eastAsia"/>
          <w:iCs/>
          <w:vertAlign w:val="subscript"/>
          <w:lang w:val="en-US" w:eastAsia="zh-CN"/>
        </w:rPr>
        <w:t>proc,1</w:t>
      </w:r>
      <w:r>
        <w:rPr>
          <w:rFonts w:hint="eastAsia"/>
          <w:iCs/>
          <w:lang w:val="en-US" w:eastAsia="zh-CN"/>
        </w:rPr>
        <w:t xml:space="preserve"> derived by each of the PDSCHs among the set of co-scheduled PDSCHs</w:t>
      </w:r>
      <w:r>
        <w:rPr>
          <w:iCs/>
          <w:lang w:val="en-US" w:eastAsia="zh-CN"/>
        </w:rPr>
        <w:t>. However</w:t>
      </w:r>
      <w:r>
        <w:rPr>
          <w:rFonts w:hint="eastAsia"/>
          <w:iCs/>
          <w:lang w:val="en-US" w:eastAsia="zh-CN"/>
        </w:rPr>
        <w:t xml:space="preserve">, this issue could also be addressed by gNB implementation with </w:t>
      </w:r>
      <w:r>
        <w:rPr>
          <w:iCs/>
          <w:lang w:val="en-US" w:eastAsia="zh-CN"/>
        </w:rPr>
        <w:t>a</w:t>
      </w:r>
      <w:r>
        <w:rPr>
          <w:rFonts w:hint="eastAsia"/>
          <w:iCs/>
          <w:lang w:val="en-US" w:eastAsia="zh-CN"/>
        </w:rPr>
        <w:t xml:space="preserve"> </w:t>
      </w:r>
      <w:r>
        <w:rPr>
          <w:iCs/>
          <w:lang w:val="en-US" w:eastAsia="zh-CN"/>
        </w:rPr>
        <w:t>proper</w:t>
      </w:r>
      <w:r>
        <w:rPr>
          <w:rFonts w:hint="eastAsia"/>
          <w:iCs/>
          <w:lang w:val="en-US" w:eastAsia="zh-CN"/>
        </w:rPr>
        <w:t xml:space="preserve"> K1 indication. </w:t>
      </w:r>
    </w:p>
    <w:p>
      <w:pPr>
        <w:spacing w:before="120" w:beforeLines="50"/>
        <w:rPr>
          <w:i/>
          <w:iCs/>
          <w:lang w:val="en-US" w:eastAsia="zh-CN"/>
        </w:rPr>
      </w:pPr>
      <w:r>
        <w:rPr>
          <w:rFonts w:hint="eastAsia"/>
          <w:b/>
          <w:i/>
        </w:rPr>
        <w:t>P</w:t>
      </w:r>
      <w:r>
        <w:rPr>
          <w:b/>
          <w:i/>
        </w:rPr>
        <w:t xml:space="preserve">roposal </w:t>
      </w:r>
      <w:r>
        <w:rPr>
          <w:b/>
          <w:i/>
          <w:lang w:val="en-US" w:eastAsia="zh-CN"/>
        </w:rPr>
        <w:t>2</w:t>
      </w:r>
      <w:r>
        <w:rPr>
          <w:b/>
          <w:i/>
        </w:rPr>
        <w:t>:</w:t>
      </w:r>
      <w:r>
        <w:rPr>
          <w:i/>
        </w:rPr>
        <w:t xml:space="preserve"> </w:t>
      </w:r>
      <w:r>
        <w:rPr>
          <w:i/>
          <w:lang w:val="en-US" w:eastAsia="zh-CN"/>
        </w:rPr>
        <w:t>F</w:t>
      </w:r>
      <w:r>
        <w:rPr>
          <w:rFonts w:hint="eastAsia"/>
          <w:i/>
          <w:iCs/>
          <w:lang w:val="en-US" w:eastAsia="zh-CN"/>
        </w:rPr>
        <w:t>or determining the timing of a PUCCH carrying HARQ-ACK information corresponding to a set of co-scheduled PDSCHs by a DCI format</w:t>
      </w:r>
      <w:r>
        <w:rPr>
          <w:i/>
          <w:iCs/>
          <w:lang w:val="en-US" w:eastAsia="zh-CN"/>
        </w:rPr>
        <w:t>, there should be no spec impact</w:t>
      </w:r>
      <w:r>
        <w:rPr>
          <w:rFonts w:hint="eastAsia"/>
          <w:i/>
          <w:iCs/>
          <w:lang w:val="en-US" w:eastAsia="zh-CN"/>
        </w:rPr>
        <w:t>.</w:t>
      </w:r>
    </w:p>
    <w:p>
      <w:pPr>
        <w:pStyle w:val="2"/>
      </w:pPr>
      <w:r>
        <w:rPr>
          <w:rFonts w:eastAsia="Yu Mincho"/>
          <w:lang w:val="en-US"/>
        </w:rPr>
        <w:t>Type-1 HARQ-ACK codebook</w:t>
      </w:r>
    </w:p>
    <w:p>
      <w:pPr>
        <w:rPr>
          <w:lang w:val="en-US" w:eastAsia="zh-CN"/>
        </w:rPr>
      </w:pPr>
      <w:r>
        <w:rPr>
          <w:rFonts w:hint="eastAsia"/>
          <w:lang w:val="en-US" w:eastAsia="zh-CN"/>
        </w:rPr>
        <w:t xml:space="preserve">Based on the clarification in RAN#105 email reflector, </w:t>
      </w:r>
      <w:r>
        <w:rPr>
          <w:lang w:val="en-US" w:eastAsia="zh-CN"/>
        </w:rPr>
        <w:t xml:space="preserve">the notes </w:t>
      </w:r>
      <w:r>
        <w:rPr>
          <w:rFonts w:hint="eastAsia"/>
          <w:lang w:val="en-US" w:eastAsia="zh-CN"/>
        </w:rPr>
        <w:t>in the WID are</w:t>
      </w:r>
      <w:r>
        <w:rPr>
          <w:lang w:val="en-US" w:eastAsia="zh-CN"/>
        </w:rPr>
        <w:t xml:space="preserve"> applicable to both</w:t>
      </w:r>
      <w:r>
        <w:rPr>
          <w:rFonts w:hint="eastAsia"/>
          <w:lang w:val="en-US" w:eastAsia="zh-CN"/>
        </w:rPr>
        <w:t xml:space="preserve"> the</w:t>
      </w:r>
      <w:r>
        <w:rPr>
          <w:lang w:val="en-US" w:eastAsia="zh-CN"/>
        </w:rPr>
        <w:t xml:space="preserve"> 1</w:t>
      </w:r>
      <w:r>
        <w:rPr>
          <w:vertAlign w:val="superscript"/>
          <w:lang w:val="en-US" w:eastAsia="zh-CN"/>
        </w:rPr>
        <w:t>st</w:t>
      </w:r>
      <w:r>
        <w:rPr>
          <w:lang w:val="en-US" w:eastAsia="zh-CN"/>
        </w:rPr>
        <w:t> and 2</w:t>
      </w:r>
      <w:r>
        <w:rPr>
          <w:vertAlign w:val="superscript"/>
          <w:lang w:val="en-US" w:eastAsia="zh-CN"/>
        </w:rPr>
        <w:t>nd</w:t>
      </w:r>
      <w:r>
        <w:rPr>
          <w:lang w:val="en-US" w:eastAsia="zh-CN"/>
        </w:rPr>
        <w:t> bullets</w:t>
      </w:r>
      <w:r>
        <w:rPr>
          <w:rFonts w:hint="eastAsia"/>
          <w:lang w:val="en-US" w:eastAsia="zh-CN"/>
        </w:rPr>
        <w:t xml:space="preserve">. However, the K1 extension and </w:t>
      </w:r>
      <w:r>
        <w:rPr>
          <w:lang w:val="en-US" w:eastAsia="zh-CN"/>
        </w:rPr>
        <w:t>time</w:t>
      </w:r>
      <w:r>
        <w:t xml:space="preserve"> domain HARQ-ACK bundling</w:t>
      </w:r>
      <w:r>
        <w:rPr>
          <w:rFonts w:hint="eastAsia"/>
          <w:lang w:val="en-US" w:eastAsia="zh-CN"/>
        </w:rPr>
        <w:t xml:space="preserve"> for </w:t>
      </w:r>
      <w:r>
        <w:rPr>
          <w:rFonts w:eastAsia="Yu Mincho"/>
          <w:lang w:val="en-US"/>
        </w:rPr>
        <w:t>Type-1 HARQ-ACK codebook</w:t>
      </w:r>
      <w:r>
        <w:rPr>
          <w:rFonts w:hint="eastAsia"/>
          <w:lang w:val="en-US" w:eastAsia="zh-CN"/>
        </w:rPr>
        <w:t xml:space="preserve"> were introduced for multi-PDSCH scheduling on a single cell in Rel-17. To avoid enhancing the Type-1 HARQ-ACK codebook for Rel-19 multi-cell scheduling, the similar restrictions made in Rel-18 </w:t>
      </w:r>
      <w:r>
        <w:rPr>
          <w:rFonts w:cs="Times"/>
        </w:rPr>
        <w:t>multi-cell scheduling</w:t>
      </w:r>
      <w:r>
        <w:rPr>
          <w:rFonts w:hint="eastAsia" w:cs="Times"/>
          <w:lang w:val="en-US" w:eastAsia="zh-CN"/>
        </w:rPr>
        <w:t xml:space="preserve"> </w:t>
      </w:r>
      <w:r>
        <w:rPr>
          <w:rFonts w:hint="eastAsia"/>
          <w:lang w:val="en-US" w:eastAsia="zh-CN"/>
        </w:rPr>
        <w:t xml:space="preserve">should also be </w:t>
      </w:r>
      <w:r>
        <w:rPr>
          <w:lang w:val="en-US" w:eastAsia="zh-CN"/>
        </w:rPr>
        <w:t>applied to</w:t>
      </w:r>
      <w:r>
        <w:rPr>
          <w:rFonts w:hint="eastAsia"/>
          <w:lang w:val="en-US" w:eastAsia="zh-CN"/>
        </w:rPr>
        <w:t xml:space="preserve"> Rel-19 </w:t>
      </w:r>
      <w:r>
        <w:rPr>
          <w:rFonts w:cs="Times"/>
        </w:rPr>
        <w:t>multi-cell scheduling</w:t>
      </w:r>
      <w:r>
        <w:rPr>
          <w:rFonts w:hint="eastAsia"/>
          <w:lang w:val="en-US" w:eastAsia="zh-CN"/>
        </w:rPr>
        <w:t>.</w:t>
      </w:r>
      <w:r>
        <w:rPr>
          <w:lang w:val="en-US" w:eastAsia="zh-CN"/>
        </w:rPr>
        <w:t xml:space="preserve"> This is achieved by gNB implementation.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snapToGrid w:val="0"/>
              <w:rPr>
                <w:rFonts w:eastAsia="Times New Roman" w:cs="Times"/>
                <w:b/>
                <w:bCs/>
                <w:lang w:eastAsia="ja-JP"/>
              </w:rPr>
            </w:pPr>
            <w:r>
              <w:rPr>
                <w:rFonts w:hint="eastAsia" w:cs="Times"/>
                <w:b/>
                <w:bCs/>
                <w:lang w:val="en-US" w:eastAsia="zh-CN"/>
              </w:rPr>
              <w:t xml:space="preserve">RAN1#112 </w:t>
            </w:r>
            <w:r>
              <w:rPr>
                <w:rFonts w:eastAsia="Times New Roman" w:cs="Times"/>
                <w:b/>
                <w:bCs/>
                <w:lang w:eastAsia="ja-JP"/>
              </w:rPr>
              <w:t>Conclusion</w:t>
            </w:r>
          </w:p>
          <w:p>
            <w:pPr>
              <w:overflowPunct w:val="0"/>
              <w:autoSpaceDE w:val="0"/>
              <w:autoSpaceDN w:val="0"/>
              <w:textAlignment w:val="baseline"/>
              <w:rPr>
                <w:rFonts w:cs="Times"/>
              </w:rPr>
            </w:pPr>
            <w:r>
              <w:rPr>
                <w:rFonts w:cs="Times"/>
              </w:rPr>
              <w:t>Type-1 HARQ-ACK codebook is supported for multi-cell scheduling without K1 extension.</w:t>
            </w:r>
          </w:p>
          <w:p>
            <w:pPr>
              <w:numPr>
                <w:ilvl w:val="0"/>
                <w:numId w:val="16"/>
              </w:numPr>
              <w:overflowPunct w:val="0"/>
              <w:autoSpaceDE w:val="0"/>
              <w:autoSpaceDN w:val="0"/>
              <w:ind w:left="720" w:hanging="360"/>
              <w:textAlignment w:val="baseline"/>
              <w:rPr>
                <w:rFonts w:cs="Times"/>
              </w:rPr>
            </w:pPr>
            <w:r>
              <w:rPr>
                <w:rFonts w:cs="Times"/>
              </w:rPr>
              <w:t>UE expects HARQ-ACK information for all co-scheduled PDSCHs by DCI format 1_X can be mapped in the Type-1 HARQ-ACK codebook.</w:t>
            </w:r>
          </w:p>
          <w:p>
            <w:pPr>
              <w:numPr>
                <w:ilvl w:val="0"/>
                <w:numId w:val="16"/>
              </w:numPr>
              <w:overflowPunct w:val="0"/>
              <w:autoSpaceDE w:val="0"/>
              <w:autoSpaceDN w:val="0"/>
              <w:ind w:left="720" w:hanging="360"/>
              <w:textAlignment w:val="baseline"/>
              <w:rPr>
                <w:lang w:val="en-US" w:eastAsia="zh-CN"/>
              </w:rPr>
            </w:pPr>
            <w:r>
              <w:rPr>
                <w:rFonts w:cs="Times"/>
              </w:rPr>
              <w:t>Type-1 HARQ-ACK codebook is not enhanced for Rel-18 multi-cell scheduling.</w:t>
            </w:r>
          </w:p>
        </w:tc>
      </w:tr>
    </w:tbl>
    <w:p>
      <w:pPr>
        <w:spacing w:before="120" w:beforeLines="50"/>
        <w:rPr>
          <w:iCs/>
          <w:lang w:val="en-US" w:eastAsia="zh-CN"/>
        </w:rPr>
      </w:pPr>
      <w:r>
        <w:rPr>
          <w:rFonts w:hint="eastAsia"/>
          <w:bCs/>
          <w:iCs/>
          <w:lang w:val="en-US" w:eastAsia="zh-CN"/>
        </w:rPr>
        <w:t>I</w:t>
      </w:r>
      <w:r>
        <w:rPr>
          <w:rFonts w:hint="eastAsia"/>
          <w:iCs/>
          <w:lang w:val="en-US" w:eastAsia="zh-CN"/>
        </w:rPr>
        <w:t xml:space="preserve">n RAN1#119, HARQ-ACK bundling in time domain has been agreed as below. This implies Type-1 HARQ-ACK codebook can also be configured with time domain HARQ-ACK bundling.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rPr>
                <w:rFonts w:eastAsia="等线"/>
                <w:highlight w:val="green"/>
                <w:lang w:eastAsia="zh-CN"/>
              </w:rPr>
            </w:pPr>
            <w:r>
              <w:rPr>
                <w:rFonts w:hint="eastAsia" w:eastAsia="等线"/>
                <w:highlight w:val="green"/>
                <w:lang w:eastAsia="zh-CN"/>
              </w:rPr>
              <w:t>Agreement</w:t>
            </w:r>
          </w:p>
          <w:p>
            <w:pPr>
              <w:numPr>
                <w:ilvl w:val="0"/>
                <w:numId w:val="14"/>
              </w:numPr>
              <w:snapToGrid w:val="0"/>
              <w:rPr>
                <w:i/>
                <w:lang w:val="en-US" w:eastAsia="zh-CN"/>
              </w:rPr>
            </w:pPr>
            <w:r>
              <w:t xml:space="preserve">Time domain HARQ-ACK bundling is configured per cell </w:t>
            </w:r>
            <w:r>
              <w:rPr>
                <w:rFonts w:hint="eastAsia" w:eastAsia="等线"/>
              </w:rPr>
              <w:t>as Rel-17</w:t>
            </w:r>
            <w:r>
              <w:t>.</w:t>
            </w:r>
          </w:p>
        </w:tc>
      </w:tr>
    </w:tbl>
    <w:p>
      <w:pPr>
        <w:spacing w:before="120" w:beforeLines="50"/>
        <w:rPr>
          <w:bCs/>
          <w:iCs/>
          <w:lang w:val="en-US" w:eastAsia="zh-CN"/>
        </w:rPr>
      </w:pPr>
      <w:r>
        <w:rPr>
          <w:rFonts w:hint="eastAsia"/>
          <w:iCs/>
          <w:lang w:val="en-US" w:eastAsia="zh-CN"/>
        </w:rPr>
        <w:t xml:space="preserve">Based on this understanding, </w:t>
      </w:r>
      <w:r>
        <w:rPr>
          <w:rFonts w:cs="Times"/>
        </w:rPr>
        <w:t>Type-1 HARQ-ACK codebook</w:t>
      </w:r>
      <w:r>
        <w:rPr>
          <w:rFonts w:hint="eastAsia" w:cs="Times"/>
          <w:lang w:val="en-US" w:eastAsia="zh-CN"/>
        </w:rPr>
        <w:t xml:space="preserve"> is indeed enhanced compared to that of </w:t>
      </w:r>
      <w:r>
        <w:rPr>
          <w:rFonts w:cs="Times"/>
        </w:rPr>
        <w:t>Rel-18 multi-cell scheduling</w:t>
      </w:r>
      <w:r>
        <w:rPr>
          <w:rFonts w:hint="eastAsia" w:cs="Times"/>
          <w:lang w:val="en-US" w:eastAsia="zh-CN"/>
        </w:rPr>
        <w:t xml:space="preserve">. As a result, </w:t>
      </w:r>
      <w:r>
        <w:rPr>
          <w:rFonts w:hint="eastAsia"/>
          <w:lang w:val="en-US" w:eastAsia="zh-CN"/>
        </w:rPr>
        <w:t>K1 extension for Type-1 HARQ-ACK codebook shall be also supported for Rel-19 multi-cell scheduling with multi-PDSCH on one or more cells.</w:t>
      </w:r>
    </w:p>
    <w:p>
      <w:pPr>
        <w:spacing w:before="120" w:beforeLines="50"/>
        <w:rPr>
          <w:rFonts w:cs="Times"/>
          <w:i/>
          <w:iCs/>
          <w:lang w:val="en-US" w:eastAsia="zh-CN"/>
        </w:rPr>
      </w:pPr>
      <w:r>
        <w:rPr>
          <w:rFonts w:hint="eastAsia"/>
          <w:b/>
          <w:i/>
        </w:rPr>
        <w:t>P</w:t>
      </w:r>
      <w:r>
        <w:rPr>
          <w:b/>
          <w:i/>
        </w:rPr>
        <w:t xml:space="preserve">roposal </w:t>
      </w:r>
      <w:r>
        <w:rPr>
          <w:b/>
          <w:i/>
          <w:lang w:val="en-US" w:eastAsia="zh-CN"/>
        </w:rPr>
        <w:t>3</w:t>
      </w:r>
      <w:r>
        <w:rPr>
          <w:b/>
          <w:i/>
        </w:rPr>
        <w:t>:</w:t>
      </w:r>
      <w:r>
        <w:rPr>
          <w:i/>
        </w:rPr>
        <w:t xml:space="preserve"> </w:t>
      </w:r>
      <w:r>
        <w:rPr>
          <w:i/>
          <w:iCs/>
        </w:rPr>
        <w:t>Type-1 HARQ-ACK codebook is supported for multi-cell scheduling with K1 extension</w:t>
      </w:r>
      <w:r>
        <w:rPr>
          <w:rFonts w:cs="Times"/>
          <w:i/>
          <w:iCs/>
        </w:rPr>
        <w:t xml:space="preserve"> for </w:t>
      </w:r>
      <w:r>
        <w:rPr>
          <w:rFonts w:hint="eastAsia" w:cs="Times"/>
          <w:i/>
          <w:iCs/>
          <w:lang w:val="en-US" w:eastAsia="zh-CN"/>
        </w:rPr>
        <w:t xml:space="preserve">Rel-19 </w:t>
      </w:r>
      <w:r>
        <w:rPr>
          <w:rFonts w:cs="Times"/>
          <w:i/>
          <w:iCs/>
        </w:rPr>
        <w:t>multi-cell scheduling</w:t>
      </w:r>
      <w:r>
        <w:rPr>
          <w:rFonts w:hint="eastAsia" w:cs="Times"/>
          <w:i/>
          <w:iCs/>
          <w:lang w:val="en-US" w:eastAsia="zh-CN"/>
        </w:rPr>
        <w:t>.</w:t>
      </w:r>
    </w:p>
    <w:p>
      <w:pPr>
        <w:pStyle w:val="33"/>
        <w:numPr>
          <w:ilvl w:val="0"/>
          <w:numId w:val="17"/>
        </w:numPr>
        <w:kinsoku w:val="0"/>
        <w:overflowPunct w:val="0"/>
        <w:adjustRightInd w:val="0"/>
        <w:textAlignment w:val="baseline"/>
        <w:rPr>
          <w:rFonts w:cs="Times"/>
          <w:i/>
          <w:iCs/>
          <w:lang w:val="en-US" w:eastAsia="zh-CN"/>
        </w:rPr>
      </w:pPr>
      <w:r>
        <w:rPr>
          <w:rFonts w:cs="Times"/>
          <w:i/>
          <w:iCs/>
          <w:lang w:eastAsia="ja-JP"/>
        </w:rPr>
        <w:t>UE expects HARQ-ACK information for all co-scheduled PDSCHs by DCI format 1_3 can be mapped in the Type-1 HARQ-ACK codebook.</w:t>
      </w:r>
      <w:r>
        <w:rPr>
          <w:rFonts w:cs="Times"/>
          <w:i/>
          <w:iCs/>
          <w:lang w:val="en-US" w:eastAsia="zh-CN"/>
        </w:rPr>
        <w:t xml:space="preserve"> </w:t>
      </w:r>
    </w:p>
    <w:p>
      <w:pPr>
        <w:pStyle w:val="2"/>
      </w:pPr>
      <w:r>
        <w:rPr>
          <w:rFonts w:eastAsia="Yu Mincho"/>
          <w:lang w:val="en-US"/>
        </w:rPr>
        <w:t>Type-</w:t>
      </w:r>
      <w:r>
        <w:rPr>
          <w:rFonts w:hint="eastAsia"/>
          <w:lang w:val="en-US" w:eastAsia="zh-CN"/>
        </w:rPr>
        <w:t>2</w:t>
      </w:r>
      <w:r>
        <w:rPr>
          <w:rFonts w:eastAsia="Yu Mincho"/>
          <w:lang w:val="en-US"/>
        </w:rPr>
        <w:t xml:space="preserve"> HARQ-ACK codebook</w:t>
      </w:r>
    </w:p>
    <w:p>
      <w:pPr>
        <w:rPr>
          <w:lang w:val="en-US" w:eastAsia="zh-CN"/>
        </w:rPr>
      </w:pPr>
      <w:r>
        <w:rPr>
          <w:rFonts w:hint="eastAsia"/>
          <w:lang w:val="en-US" w:eastAsia="zh-CN"/>
        </w:rPr>
        <w:t xml:space="preserve">The working assumption on </w:t>
      </w:r>
      <w:r>
        <w:t>HARQ-ACK information bit for SCell dormancy indication</w:t>
      </w:r>
      <w:r>
        <w:rPr>
          <w:rFonts w:hint="eastAsia"/>
          <w:lang w:val="en-US" w:eastAsia="zh-CN"/>
        </w:rPr>
        <w:t xml:space="preserve"> is listed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napToGrid w:val="0"/>
              <w:rPr>
                <w:rFonts w:eastAsia="等线"/>
                <w:lang w:eastAsia="zh-CN"/>
              </w:rPr>
            </w:pPr>
            <w:r>
              <w:rPr>
                <w:rFonts w:hint="eastAsia" w:eastAsia="等线"/>
                <w:highlight w:val="darkYellow"/>
                <w:lang w:eastAsia="zh-CN"/>
              </w:rPr>
              <w:t>Working Assumption</w:t>
            </w:r>
          </w:p>
          <w:p>
            <w:pPr>
              <w:numPr>
                <w:ilvl w:val="0"/>
                <w:numId w:val="14"/>
              </w:numPr>
              <w:snapToGrid w:val="0"/>
              <w:rPr>
                <w:lang w:val="en-US" w:eastAsia="zh-CN"/>
              </w:rPr>
            </w:pPr>
            <w: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Pr>
                <w:rFonts w:hint="eastAsia" w:eastAsia="等线"/>
              </w:rPr>
              <w:t xml:space="preserve"> for the first SLIV </w:t>
            </w:r>
            <w:r>
              <w:t xml:space="preserve">and followed by NACK bits for the remaining SLIVs. </w:t>
            </w:r>
          </w:p>
        </w:tc>
      </w:tr>
    </w:tbl>
    <w:p>
      <w:pPr>
        <w:spacing w:before="120" w:beforeLines="50"/>
        <w:rPr>
          <w:lang w:val="en-US" w:eastAsia="zh-CN"/>
        </w:rPr>
      </w:pPr>
      <w:r>
        <w:rPr>
          <w:rFonts w:hint="eastAsia"/>
          <w:lang w:val="en-US" w:eastAsia="zh-CN"/>
        </w:rPr>
        <w:t>Time-domain HARQ-ACK bundling was also supported and the following agreements on Type-2 HARQ-ACK codebook are listed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等线"/>
                <w:highlight w:val="green"/>
                <w:lang w:eastAsia="zh-CN"/>
              </w:rPr>
            </w:pPr>
            <w:r>
              <w:rPr>
                <w:rFonts w:hint="eastAsia" w:eastAsia="等线"/>
                <w:highlight w:val="green"/>
                <w:lang w:val="en-US" w:eastAsia="zh-CN"/>
              </w:rPr>
              <w:t xml:space="preserve">RAN1#119 </w:t>
            </w:r>
            <w:r>
              <w:rPr>
                <w:rFonts w:hint="eastAsia" w:eastAsia="等线"/>
                <w:highlight w:val="green"/>
                <w:lang w:eastAsia="zh-CN"/>
              </w:rPr>
              <w:t>Agreement</w:t>
            </w:r>
          </w:p>
          <w:p>
            <w:pPr>
              <w:numPr>
                <w:ilvl w:val="0"/>
                <w:numId w:val="14"/>
              </w:numPr>
              <w:snapToGrid w:val="0"/>
            </w:pPr>
            <w:r>
              <w:t xml:space="preserve">Time-domain HARQ-ACK bundling is configured per cell </w:t>
            </w:r>
            <w:r>
              <w:rPr>
                <w:rFonts w:hint="eastAsia" w:eastAsia="等线"/>
              </w:rPr>
              <w:t>as Rel-17</w:t>
            </w:r>
            <w:r>
              <w:t xml:space="preserve">.  </w:t>
            </w:r>
          </w:p>
          <w:p>
            <w:pPr>
              <w:rPr>
                <w:rFonts w:eastAsia="等线"/>
                <w:highlight w:val="green"/>
                <w:lang w:eastAsia="zh-CN"/>
              </w:rPr>
            </w:pPr>
            <w:r>
              <w:rPr>
                <w:rFonts w:hint="eastAsia" w:eastAsia="等线"/>
                <w:highlight w:val="green"/>
                <w:lang w:val="en-US" w:eastAsia="zh-CN"/>
              </w:rPr>
              <w:t xml:space="preserve">RAN1#119 </w:t>
            </w:r>
            <w:r>
              <w:rPr>
                <w:rFonts w:hint="eastAsia" w:eastAsia="等线"/>
                <w:highlight w:val="green"/>
                <w:lang w:eastAsia="zh-CN"/>
              </w:rPr>
              <w:t>Agreement</w:t>
            </w:r>
          </w:p>
          <w:p>
            <w:pPr>
              <w:numPr>
                <w:ilvl w:val="0"/>
                <w:numId w:val="14"/>
              </w:numPr>
              <w:snapToGrid w:val="0"/>
            </w:pPr>
            <w:r>
              <w:t xml:space="preserve">Type-2 HARQ-ACK codebook is </w:t>
            </w:r>
            <w:r>
              <w:rPr>
                <w:rFonts w:eastAsia="MS Mincho"/>
                <w:bCs/>
                <w:lang w:eastAsia="ja-JP"/>
              </w:rPr>
              <w:t>generated by concatenating a first sub-codebook and a second sub-codebook.</w:t>
            </w:r>
            <w:r>
              <w:t xml:space="preserve"> </w:t>
            </w:r>
          </w:p>
          <w:p>
            <w:pPr>
              <w:pStyle w:val="33"/>
              <w:numPr>
                <w:ilvl w:val="0"/>
                <w:numId w:val="15"/>
              </w:numPr>
              <w:contextualSpacing/>
              <w:rPr>
                <w:rFonts w:eastAsia="MS Mincho"/>
                <w:bCs/>
                <w:lang w:eastAsia="ja-JP"/>
              </w:rPr>
            </w:pPr>
            <w:r>
              <w:rPr>
                <w:rFonts w:eastAsia="MS Mincho"/>
                <w:bCs/>
                <w:lang w:eastAsia="ja-JP"/>
              </w:rPr>
              <w:t>The first sub-codebook comprises HARQ-ACK information bits for PDSCH(s) scheduled by DCI(s) with each scheduling a single PDSCH,</w:t>
            </w:r>
            <w:r>
              <w:t xml:space="preserve"> </w:t>
            </w:r>
            <w:r>
              <w:rPr>
                <w:rFonts w:eastAsia="MS Mincho"/>
                <w:bCs/>
                <w:lang w:eastAsia="ja-JP"/>
              </w:rPr>
              <w:t xml:space="preserve">or each scheduling a single cell with multiple PDSCHs on it and </w:t>
            </w:r>
            <w:r>
              <w:rPr>
                <w:rFonts w:eastAsia="MS Mincho"/>
                <w:bCs/>
                <w:i/>
                <w:iCs/>
                <w:lang w:eastAsia="ja-JP"/>
              </w:rPr>
              <w:t>nrofHARQ-BundlingGroups</w:t>
            </w:r>
            <w:r>
              <w:rPr>
                <w:rFonts w:eastAsia="MS Mincho"/>
                <w:bCs/>
                <w:lang w:eastAsia="ja-JP"/>
              </w:rPr>
              <w:t xml:space="preserve"> configured as 1, and HARQ-ACK information bit(s) for DCI(s) having associated HARQ-ACK information without scheduling PDSCH reception. </w:t>
            </w:r>
          </w:p>
          <w:p>
            <w:pPr>
              <w:numPr>
                <w:ilvl w:val="0"/>
                <w:numId w:val="15"/>
              </w:numPr>
              <w:snapToGrid w:val="0"/>
              <w:rPr>
                <w:rFonts w:eastAsia="MS Mincho"/>
                <w:bCs/>
                <w:lang w:eastAsia="ja-JP"/>
              </w:rPr>
            </w:pPr>
            <w:r>
              <w:rPr>
                <w:rFonts w:eastAsia="MS Mincho"/>
                <w:bCs/>
                <w:lang w:eastAsia="ja-JP"/>
              </w:rPr>
              <w:t xml:space="preserve">The second sub-codebook comprises HARQ-ACK information bits for PDSCHs scheduled by DCI(s) with each scheduling more than one cell, or each scheduling a single cell with multiple PDSCHs on it without </w:t>
            </w:r>
            <w:r>
              <w:rPr>
                <w:rFonts w:eastAsia="MS Mincho"/>
                <w:bCs/>
                <w:i/>
                <w:iCs/>
                <w:lang w:eastAsia="ja-JP"/>
              </w:rPr>
              <w:t>nrofHARQ-BundlingGroups</w:t>
            </w:r>
            <w:r>
              <w:rPr>
                <w:rFonts w:eastAsia="MS Mincho"/>
                <w:bCs/>
                <w:lang w:eastAsia="ja-JP"/>
              </w:rPr>
              <w:t xml:space="preserve"> or </w:t>
            </w:r>
            <w:r>
              <w:rPr>
                <w:rFonts w:eastAsia="MS Mincho"/>
                <w:bCs/>
                <w:i/>
                <w:iCs/>
                <w:lang w:eastAsia="ja-JP"/>
              </w:rPr>
              <w:t>nrofHARQ-BundlingGroups</w:t>
            </w:r>
            <w:r>
              <w:rPr>
                <w:rFonts w:eastAsia="MS Mincho"/>
                <w:bCs/>
                <w:lang w:eastAsia="ja-JP"/>
              </w:rPr>
              <w:t xml:space="preserve"> configured larger than 1. </w:t>
            </w:r>
          </w:p>
          <w:p>
            <w:pPr>
              <w:numPr>
                <w:ilvl w:val="0"/>
                <w:numId w:val="15"/>
              </w:numPr>
              <w:snapToGrid w:val="0"/>
            </w:pPr>
            <w:r>
              <w:t>Separate DAI counting is applied for DCI(s) associated with the first sub-codebook and DCI(s) associated with the second sub-codebook</w:t>
            </w:r>
            <w:r>
              <w:rPr>
                <w:rFonts w:hint="eastAsia"/>
              </w:rPr>
              <w:t xml:space="preserve"> as Rel-18</w:t>
            </w:r>
            <w:r>
              <w:t>.</w:t>
            </w:r>
          </w:p>
          <w:p>
            <w:pPr>
              <w:numPr>
                <w:ilvl w:val="0"/>
                <w:numId w:val="15"/>
              </w:numPr>
              <w:snapToGrid w:val="0"/>
              <w:rPr>
                <w:lang w:val="en-US" w:eastAsia="zh-CN"/>
              </w:rPr>
            </w:pPr>
            <w:r>
              <w:rPr>
                <w:rFonts w:eastAsia="等线"/>
              </w:rPr>
              <w:t>Note: For providing HARQ-ACK information corresponding to SCell dormancy indication, the UE assumes that the UE receives a PDSCH on the serving cell associated with fields in DCI format 1_3 used for SCell dormancy indicatio</w:t>
            </w:r>
            <w:r>
              <w:t>n</w:t>
            </w:r>
            <w:r>
              <w:rPr>
                <w:rFonts w:hint="eastAsia"/>
              </w:rPr>
              <w:t xml:space="preserve"> as Rel-18</w:t>
            </w:r>
            <w:r>
              <w:t>.</w:t>
            </w:r>
            <w:r>
              <w:rPr>
                <w:rFonts w:hint="eastAsia"/>
              </w:rPr>
              <w:t xml:space="preserve"> </w:t>
            </w:r>
            <w:r>
              <w:rPr>
                <w:rFonts w:hint="eastAsia" w:eastAsia="等线"/>
              </w:rPr>
              <w:t xml:space="preserve">       </w:t>
            </w:r>
          </w:p>
        </w:tc>
      </w:tr>
    </w:tbl>
    <w:p>
      <w:pPr>
        <w:snapToGrid w:val="0"/>
        <w:spacing w:before="120" w:beforeLines="50"/>
        <w:rPr>
          <w:lang w:val="en-US" w:eastAsia="zh-CN"/>
        </w:rPr>
      </w:pPr>
      <w:r>
        <w:rPr>
          <w:rFonts w:hint="eastAsia"/>
          <w:lang w:val="en-US" w:eastAsia="zh-CN"/>
        </w:rPr>
        <w:t xml:space="preserve">In case </w:t>
      </w:r>
      <w:r>
        <w:t>Time-domain HARQ-ACK bundling is configured</w:t>
      </w:r>
      <w:r>
        <w:rPr>
          <w:rFonts w:hint="eastAsia"/>
          <w:lang w:val="en-US" w:eastAsia="zh-CN"/>
        </w:rPr>
        <w:t xml:space="preserve"> for </w:t>
      </w:r>
      <w:r>
        <w:t>the serving cell with smallest serving cell index with invalid FDRA</w:t>
      </w:r>
      <w:r>
        <w:rPr>
          <w:rFonts w:hint="eastAsia"/>
          <w:lang w:val="en-US" w:eastAsia="zh-CN"/>
        </w:rPr>
        <w:t xml:space="preserve">, the working assumption is not correct. </w:t>
      </w:r>
      <w:r>
        <w:rPr>
          <w:lang w:val="en-US" w:eastAsia="zh-CN"/>
        </w:rPr>
        <w:t>T</w:t>
      </w:r>
      <w:r>
        <w:rPr>
          <w:rFonts w:hint="eastAsia"/>
          <w:lang w:val="en-US" w:eastAsia="zh-CN"/>
        </w:rPr>
        <w:t xml:space="preserve">he HARQ-ACK information bit is NACK after bundling operation if </w:t>
      </w:r>
      <w:r>
        <w:t>ACK</w:t>
      </w:r>
      <w:r>
        <w:rPr>
          <w:rFonts w:hint="eastAsia" w:eastAsia="等线"/>
        </w:rPr>
        <w:t xml:space="preserve"> </w:t>
      </w:r>
      <w:r>
        <w:rPr>
          <w:rFonts w:eastAsia="等线"/>
        </w:rPr>
        <w:t xml:space="preserve">is assumed </w:t>
      </w:r>
      <w:r>
        <w:rPr>
          <w:rFonts w:hint="eastAsia" w:eastAsia="等线"/>
        </w:rPr>
        <w:t xml:space="preserve">for the first SLIV </w:t>
      </w:r>
      <w:r>
        <w:t>and NACK bits are assumed for the remaining SLIVs</w:t>
      </w:r>
      <w:r>
        <w:rPr>
          <w:rFonts w:hint="eastAsia"/>
          <w:lang w:val="en-US" w:eastAsia="zh-CN"/>
        </w:rPr>
        <w:t xml:space="preserve">. </w:t>
      </w:r>
      <w:r>
        <w:rPr>
          <w:lang w:val="en-US" w:eastAsia="zh-CN"/>
        </w:rPr>
        <w:t xml:space="preserve">It leads to an invalid feedback. </w:t>
      </w:r>
      <w:r>
        <w:rPr>
          <w:rFonts w:hint="eastAsia"/>
          <w:lang w:val="en-US" w:eastAsia="zh-CN"/>
        </w:rPr>
        <w:t>As a result, the working assumption should be updated as following</w:t>
      </w:r>
      <w:r>
        <w:rPr>
          <w:lang w:val="en-US" w:eastAsia="zh-CN"/>
        </w:rPr>
        <w:t xml:space="preserve"> to cover the case that time-domain HARQ-ACK bundling is configured</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napToGrid w:val="0"/>
              <w:rPr>
                <w:rFonts w:eastAsia="等线"/>
                <w:lang w:eastAsia="zh-CN"/>
              </w:rPr>
            </w:pPr>
            <w:r>
              <w:rPr>
                <w:rFonts w:hint="eastAsia" w:eastAsia="等线"/>
                <w:highlight w:val="darkYellow"/>
                <w:lang w:eastAsia="zh-CN"/>
              </w:rPr>
              <w:t>Working Assumption</w:t>
            </w:r>
          </w:p>
          <w:p>
            <w:pPr>
              <w:numPr>
                <w:ilvl w:val="0"/>
                <w:numId w:val="14"/>
              </w:numPr>
              <w:snapToGrid w:val="0"/>
              <w:rPr>
                <w:lang w:val="en-US" w:eastAsia="zh-CN"/>
              </w:rPr>
            </w:pPr>
            <w:r>
              <w:t>For a DCI format 1_3 with fields repurposed for SCell dormancy indication and scheduling one or more PDSCHs, if TDRA field indicates multiple SLIVs for the serving cell with smallest serving cell index with invalid FDRA</w:t>
            </w:r>
            <w:r>
              <w:rPr>
                <w:rFonts w:hint="eastAsia"/>
                <w:lang w:val="en-US" w:eastAsia="zh-CN"/>
              </w:rPr>
              <w:t xml:space="preserve"> </w:t>
            </w:r>
            <w:r>
              <w:rPr>
                <w:rFonts w:hint="eastAsia"/>
                <w:color w:val="FF0000"/>
                <w:u w:val="single"/>
                <w:lang w:val="en-US" w:eastAsia="zh-CN"/>
              </w:rPr>
              <w:t xml:space="preserve">and </w:t>
            </w:r>
            <w:r>
              <w:rPr>
                <w:rFonts w:eastAsia="MS Mincho"/>
                <w:bCs/>
                <w:color w:val="FF0000"/>
                <w:u w:val="single"/>
                <w:lang w:eastAsia="ja-JP"/>
              </w:rPr>
              <w:t xml:space="preserve">without </w:t>
            </w:r>
            <w:r>
              <w:rPr>
                <w:rFonts w:eastAsia="MS Mincho"/>
                <w:bCs/>
                <w:i/>
                <w:iCs/>
                <w:color w:val="FF0000"/>
                <w:u w:val="single"/>
                <w:lang w:eastAsia="ja-JP"/>
              </w:rPr>
              <w:t xml:space="preserve">nrofHARQ-BundlingGroups </w:t>
            </w:r>
            <w:r>
              <w:rPr>
                <w:rFonts w:eastAsia="MS Mincho"/>
                <w:bCs/>
                <w:iCs/>
                <w:color w:val="FF0000"/>
                <w:u w:val="single"/>
                <w:lang w:eastAsia="ja-JP"/>
              </w:rPr>
              <w:t>configured</w:t>
            </w:r>
            <w:r>
              <w:t>, the HARQ-ACK information bit for SCell dormancy indication is ACK</w:t>
            </w:r>
            <w:r>
              <w:rPr>
                <w:rFonts w:hint="eastAsia" w:eastAsia="等线"/>
              </w:rPr>
              <w:t xml:space="preserve"> for the first SLIV </w:t>
            </w:r>
            <w:r>
              <w:t xml:space="preserve">and followed by NACK bits for the remaining SLIVs. </w:t>
            </w:r>
          </w:p>
          <w:p>
            <w:pPr>
              <w:numPr>
                <w:ilvl w:val="0"/>
                <w:numId w:val="14"/>
              </w:numPr>
              <w:snapToGrid w:val="0"/>
              <w:rPr>
                <w:lang w:val="en-US" w:eastAsia="zh-CN"/>
              </w:rPr>
            </w:pPr>
            <w:r>
              <w:rPr>
                <w:color w:val="FF0000"/>
                <w:u w:val="single"/>
              </w:rPr>
              <w:t>For a DCI format 1_3 with fields repurposed for SCell dormancy indication and scheduling one or more PDSCHs, if TDRA field indicates multiple SLIVs for the serving cell with smallest serving cell index with invalid FDRA</w:t>
            </w:r>
            <w:r>
              <w:rPr>
                <w:rFonts w:hint="eastAsia"/>
                <w:color w:val="FF0000"/>
                <w:u w:val="single"/>
                <w:lang w:val="en-US" w:eastAsia="zh-CN"/>
              </w:rPr>
              <w:t xml:space="preserve"> and </w:t>
            </w:r>
            <w:r>
              <w:rPr>
                <w:rFonts w:eastAsia="MS Mincho"/>
                <w:bCs/>
                <w:color w:val="FF0000"/>
                <w:u w:val="single"/>
                <w:lang w:eastAsia="ja-JP"/>
              </w:rPr>
              <w:t xml:space="preserve">with </w:t>
            </w:r>
            <w:r>
              <w:rPr>
                <w:rFonts w:eastAsia="MS Mincho"/>
                <w:bCs/>
                <w:i/>
                <w:iCs/>
                <w:color w:val="FF0000"/>
                <w:u w:val="single"/>
                <w:lang w:eastAsia="ja-JP"/>
              </w:rPr>
              <w:t>nrofHARQ-BundlingGroups</w:t>
            </w:r>
            <w:r>
              <w:rPr>
                <w:rFonts w:eastAsia="MS Mincho"/>
                <w:bCs/>
                <w:color w:val="FF0000"/>
                <w:u w:val="single"/>
                <w:lang w:eastAsia="ja-JP"/>
              </w:rPr>
              <w:t xml:space="preserve"> configured</w:t>
            </w:r>
            <w:r>
              <w:rPr>
                <w:color w:val="FF0000"/>
                <w:u w:val="single"/>
              </w:rPr>
              <w:t>, the HARQ-ACK information bit for SCell dormancy indication is ACK</w:t>
            </w:r>
            <w:r>
              <w:rPr>
                <w:rFonts w:hint="eastAsia" w:eastAsia="等线"/>
                <w:color w:val="FF0000"/>
                <w:u w:val="single"/>
              </w:rPr>
              <w:t xml:space="preserve"> for the first </w:t>
            </w:r>
            <w:r>
              <w:rPr>
                <w:rFonts w:hint="eastAsia" w:eastAsia="等线"/>
                <w:color w:val="FF0000"/>
                <w:u w:val="single"/>
                <w:lang w:val="en-US" w:eastAsia="zh-CN"/>
              </w:rPr>
              <w:t>TBG</w:t>
            </w:r>
            <w:r>
              <w:rPr>
                <w:rFonts w:eastAsia="等线"/>
                <w:color w:val="FF0000"/>
                <w:u w:val="single"/>
                <w:lang w:val="en-US" w:eastAsia="zh-CN"/>
              </w:rPr>
              <w:t>,</w:t>
            </w:r>
            <w:r>
              <w:rPr>
                <w:rFonts w:hint="eastAsia" w:eastAsia="等线"/>
                <w:color w:val="FF0000"/>
                <w:u w:val="single"/>
              </w:rPr>
              <w:t xml:space="preserve"> </w:t>
            </w:r>
            <w:r>
              <w:rPr>
                <w:color w:val="FF0000"/>
                <w:u w:val="single"/>
              </w:rPr>
              <w:t xml:space="preserve">and followed by NACK bits for the remaining </w:t>
            </w:r>
            <w:r>
              <w:rPr>
                <w:rFonts w:hint="eastAsia"/>
                <w:color w:val="FF0000"/>
                <w:u w:val="single"/>
                <w:lang w:val="en-US" w:eastAsia="zh-CN"/>
              </w:rPr>
              <w:t>TBG</w:t>
            </w:r>
            <w:r>
              <w:rPr>
                <w:color w:val="FF0000"/>
                <w:u w:val="single"/>
              </w:rPr>
              <w:t>s, if any.</w:t>
            </w:r>
          </w:p>
        </w:tc>
      </w:tr>
    </w:tbl>
    <w:p>
      <w:pPr>
        <w:snapToGrid w:val="0"/>
        <w:spacing w:before="120" w:beforeLines="50"/>
        <w:rPr>
          <w:lang w:val="en-US" w:eastAsia="zh-CN"/>
        </w:rPr>
      </w:pPr>
    </w:p>
    <w:p>
      <w:pPr>
        <w:rPr>
          <w:rFonts w:ascii="Times" w:hAnsi="Times" w:eastAsia="Batang"/>
          <w:i/>
        </w:rPr>
      </w:pPr>
      <w:r>
        <w:rPr>
          <w:rFonts w:hint="eastAsia"/>
          <w:b/>
          <w:i/>
        </w:rPr>
        <w:t>P</w:t>
      </w:r>
      <w:r>
        <w:rPr>
          <w:b/>
          <w:i/>
        </w:rPr>
        <w:t xml:space="preserve">roposal </w:t>
      </w:r>
      <w:r>
        <w:rPr>
          <w:b/>
          <w:i/>
          <w:lang w:val="en-US" w:eastAsia="zh-CN"/>
        </w:rPr>
        <w:t>4</w:t>
      </w:r>
      <w:r>
        <w:rPr>
          <w:b/>
          <w:i/>
        </w:rPr>
        <w:t>:</w:t>
      </w:r>
      <w:r>
        <w:rPr>
          <w:i/>
        </w:rPr>
        <w:t xml:space="preserve"> </w:t>
      </w:r>
      <w:r>
        <w:rPr>
          <w:rFonts w:hint="eastAsia"/>
          <w:i/>
          <w:lang w:val="en-US" w:eastAsia="zh-CN"/>
        </w:rPr>
        <w:t xml:space="preserve">Confirm the working assumption with </w:t>
      </w:r>
      <w:r>
        <w:rPr>
          <w:i/>
          <w:lang w:val="en-US" w:eastAsia="zh-CN"/>
        </w:rPr>
        <w:t xml:space="preserve">the </w:t>
      </w:r>
      <w:r>
        <w:rPr>
          <w:rFonts w:hint="eastAsia"/>
          <w:i/>
          <w:lang w:val="en-US" w:eastAsia="zh-CN"/>
        </w:rPr>
        <w:t>following updates</w:t>
      </w:r>
      <w:r>
        <w:rPr>
          <w:rFonts w:ascii="Times" w:hAnsi="Times" w:eastAsia="Batang"/>
          <w:i/>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napToGrid w:val="0"/>
              <w:rPr>
                <w:rFonts w:eastAsia="等线"/>
                <w:lang w:eastAsia="zh-CN"/>
              </w:rPr>
            </w:pPr>
            <w:r>
              <w:rPr>
                <w:rFonts w:hint="eastAsia" w:eastAsia="等线"/>
                <w:highlight w:val="darkYellow"/>
                <w:lang w:eastAsia="zh-CN"/>
              </w:rPr>
              <w:t>Working Assumption</w:t>
            </w:r>
          </w:p>
          <w:p>
            <w:pPr>
              <w:numPr>
                <w:ilvl w:val="0"/>
                <w:numId w:val="14"/>
              </w:numPr>
              <w:snapToGrid w:val="0"/>
              <w:rPr>
                <w:lang w:val="en-US" w:eastAsia="zh-CN"/>
              </w:rPr>
            </w:pPr>
            <w:r>
              <w:t>For a DCI format 1_3 with fields repurposed for SCell dormancy indication and scheduling one or more PDSCHs, if TDRA field indicates multiple SLIVs for the serving cell with smallest serving cell index with invalid FDRA</w:t>
            </w:r>
            <w:r>
              <w:rPr>
                <w:rFonts w:hint="eastAsia"/>
                <w:lang w:val="en-US" w:eastAsia="zh-CN"/>
              </w:rPr>
              <w:t xml:space="preserve"> </w:t>
            </w:r>
            <w:r>
              <w:rPr>
                <w:rFonts w:hint="eastAsia"/>
                <w:color w:val="FF0000"/>
                <w:u w:val="single"/>
                <w:lang w:val="en-US" w:eastAsia="zh-CN"/>
              </w:rPr>
              <w:t xml:space="preserve">and </w:t>
            </w:r>
            <w:r>
              <w:rPr>
                <w:rFonts w:eastAsia="MS Mincho"/>
                <w:bCs/>
                <w:color w:val="FF0000"/>
                <w:u w:val="single"/>
                <w:lang w:eastAsia="ja-JP"/>
              </w:rPr>
              <w:t xml:space="preserve">without </w:t>
            </w:r>
            <w:r>
              <w:rPr>
                <w:rFonts w:eastAsia="MS Mincho"/>
                <w:bCs/>
                <w:i/>
                <w:iCs/>
                <w:color w:val="FF0000"/>
                <w:u w:val="single"/>
                <w:lang w:eastAsia="ja-JP"/>
              </w:rPr>
              <w:t xml:space="preserve">nrofHARQ-BundlingGroups </w:t>
            </w:r>
            <w:r>
              <w:rPr>
                <w:rFonts w:eastAsia="MS Mincho"/>
                <w:bCs/>
                <w:iCs/>
                <w:color w:val="FF0000"/>
                <w:u w:val="single"/>
                <w:lang w:eastAsia="ja-JP"/>
              </w:rPr>
              <w:t>configured</w:t>
            </w:r>
            <w:r>
              <w:t>, the HARQ-ACK information bit for SCell dormancy indication is ACK</w:t>
            </w:r>
            <w:r>
              <w:rPr>
                <w:rFonts w:hint="eastAsia" w:eastAsia="等线"/>
              </w:rPr>
              <w:t xml:space="preserve"> for the first SLIV </w:t>
            </w:r>
            <w:r>
              <w:t xml:space="preserve">and followed by NACK bits for the remaining SLIVs. </w:t>
            </w:r>
          </w:p>
          <w:p>
            <w:pPr>
              <w:numPr>
                <w:ilvl w:val="0"/>
                <w:numId w:val="14"/>
              </w:numPr>
              <w:snapToGrid w:val="0"/>
              <w:rPr>
                <w:lang w:val="en-US" w:eastAsia="zh-CN"/>
              </w:rPr>
            </w:pPr>
            <w:r>
              <w:rPr>
                <w:color w:val="FF0000"/>
                <w:u w:val="single"/>
              </w:rPr>
              <w:t>For a DCI format 1_3 with fields repurposed for SCell dormancy indication and scheduling one or more PDSCHs, if TDRA field indicates multiple SLIVs for the serving cell with smallest serving cell index with invalid FDRA</w:t>
            </w:r>
            <w:r>
              <w:rPr>
                <w:rFonts w:hint="eastAsia"/>
                <w:color w:val="FF0000"/>
                <w:u w:val="single"/>
                <w:lang w:val="en-US" w:eastAsia="zh-CN"/>
              </w:rPr>
              <w:t xml:space="preserve"> and </w:t>
            </w:r>
            <w:r>
              <w:rPr>
                <w:rFonts w:eastAsia="MS Mincho"/>
                <w:bCs/>
                <w:color w:val="FF0000"/>
                <w:u w:val="single"/>
                <w:lang w:eastAsia="ja-JP"/>
              </w:rPr>
              <w:t xml:space="preserve">with </w:t>
            </w:r>
            <w:r>
              <w:rPr>
                <w:rFonts w:eastAsia="MS Mincho"/>
                <w:bCs/>
                <w:i/>
                <w:iCs/>
                <w:color w:val="FF0000"/>
                <w:u w:val="single"/>
                <w:lang w:eastAsia="ja-JP"/>
              </w:rPr>
              <w:t>nrofHARQ-BundlingGroups</w:t>
            </w:r>
            <w:r>
              <w:rPr>
                <w:rFonts w:eastAsia="MS Mincho"/>
                <w:bCs/>
                <w:color w:val="FF0000"/>
                <w:u w:val="single"/>
                <w:lang w:eastAsia="ja-JP"/>
              </w:rPr>
              <w:t xml:space="preserve"> configured</w:t>
            </w:r>
            <w:r>
              <w:rPr>
                <w:color w:val="FF0000"/>
                <w:u w:val="single"/>
              </w:rPr>
              <w:t>, the HARQ-ACK information bit for SCell dormancy indication is ACK</w:t>
            </w:r>
            <w:r>
              <w:rPr>
                <w:rFonts w:hint="eastAsia" w:eastAsia="等线"/>
                <w:color w:val="FF0000"/>
                <w:u w:val="single"/>
              </w:rPr>
              <w:t xml:space="preserve"> for the first </w:t>
            </w:r>
            <w:r>
              <w:rPr>
                <w:rFonts w:hint="eastAsia" w:eastAsia="等线"/>
                <w:color w:val="FF0000"/>
                <w:u w:val="single"/>
                <w:lang w:val="en-US" w:eastAsia="zh-CN"/>
              </w:rPr>
              <w:t>TBG</w:t>
            </w:r>
            <w:r>
              <w:rPr>
                <w:rFonts w:eastAsia="等线"/>
                <w:color w:val="FF0000"/>
                <w:u w:val="single"/>
                <w:lang w:val="en-US" w:eastAsia="zh-CN"/>
              </w:rPr>
              <w:t>,</w:t>
            </w:r>
            <w:r>
              <w:rPr>
                <w:rFonts w:hint="eastAsia" w:eastAsia="等线"/>
                <w:color w:val="FF0000"/>
                <w:u w:val="single"/>
              </w:rPr>
              <w:t xml:space="preserve"> </w:t>
            </w:r>
            <w:r>
              <w:rPr>
                <w:color w:val="FF0000"/>
                <w:u w:val="single"/>
              </w:rPr>
              <w:t xml:space="preserve">and followed by NACK bits for the remaining </w:t>
            </w:r>
            <w:r>
              <w:rPr>
                <w:rFonts w:hint="eastAsia"/>
                <w:color w:val="FF0000"/>
                <w:u w:val="single"/>
                <w:lang w:val="en-US" w:eastAsia="zh-CN"/>
              </w:rPr>
              <w:t>TBG</w:t>
            </w:r>
            <w:r>
              <w:rPr>
                <w:color w:val="FF0000"/>
                <w:u w:val="single"/>
              </w:rPr>
              <w:t>s, if any.</w:t>
            </w:r>
          </w:p>
        </w:tc>
      </w:tr>
    </w:tbl>
    <w:p>
      <w:pPr>
        <w:rPr>
          <w:rFonts w:ascii="Times" w:hAnsi="Times" w:eastAsia="Batang"/>
          <w:i/>
          <w:lang w:val="en-US" w:eastAsia="zh-CN"/>
        </w:rPr>
      </w:pPr>
    </w:p>
    <w:p>
      <w:pPr>
        <w:pStyle w:val="2"/>
        <w:rPr>
          <w:lang w:val="en-US" w:eastAsia="zh-CN"/>
        </w:rPr>
      </w:pPr>
      <w:r>
        <w:rPr>
          <w:rFonts w:hint="eastAsia"/>
          <w:lang w:val="en-US" w:eastAsia="zh-CN"/>
        </w:rPr>
        <w:t>Maximum number of PUSCHs/PDSCHs</w:t>
      </w:r>
    </w:p>
    <w:p>
      <w:pPr>
        <w:spacing w:before="120" w:beforeLines="50"/>
        <w:rPr>
          <w:lang w:val="en-US" w:eastAsia="zh-CN"/>
        </w:rPr>
      </w:pPr>
      <w:r>
        <w:rPr>
          <w:rFonts w:hint="eastAsia"/>
          <w:lang w:val="en-US" w:eastAsia="zh-CN"/>
        </w:rPr>
        <w:t>In RAN1#119, the agreements on the maximum number of PUSCHs/PDSCHs are listed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3"/>
              <w:numPr>
                <w:ilvl w:val="255"/>
                <w:numId w:val="0"/>
              </w:numPr>
              <w:snapToGrid w:val="0"/>
              <w:spacing w:after="60"/>
              <w:contextualSpacing/>
              <w:rPr>
                <w:rFonts w:eastAsia="等线"/>
                <w:highlight w:val="green"/>
                <w:lang w:eastAsia="zh-CN"/>
              </w:rPr>
            </w:pPr>
            <w:r>
              <w:rPr>
                <w:rFonts w:eastAsia="等线"/>
                <w:highlight w:val="green"/>
                <w:lang w:val="en-US" w:eastAsia="zh-CN"/>
              </w:rPr>
              <w:t xml:space="preserve">RAN1#119 </w:t>
            </w:r>
            <w:r>
              <w:rPr>
                <w:rFonts w:eastAsia="等线"/>
                <w:highlight w:val="green"/>
                <w:lang w:eastAsia="zh-CN"/>
              </w:rPr>
              <w:t>Agreement</w:t>
            </w:r>
          </w:p>
          <w:p>
            <w:pPr>
              <w:pStyle w:val="33"/>
              <w:numPr>
                <w:ilvl w:val="0"/>
                <w:numId w:val="14"/>
              </w:numPr>
              <w:snapToGrid w:val="0"/>
              <w:spacing w:after="60"/>
              <w:contextualSpacing/>
              <w:rPr>
                <w:rFonts w:eastAsia="Malgun Gothic"/>
                <w:bCs/>
              </w:rPr>
            </w:pPr>
            <w:r>
              <w:rPr>
                <w:rFonts w:eastAsia="等线"/>
                <w:bCs/>
              </w:rPr>
              <w:t>Specification supports t</w:t>
            </w:r>
            <w:r>
              <w:rPr>
                <w:rFonts w:eastAsia="Malgun Gothic"/>
                <w:bCs/>
              </w:rPr>
              <w:t xml:space="preserve">he maximum number of PUSCHs/PDSCHs </w:t>
            </w:r>
            <w:r>
              <w:rPr>
                <w:rFonts w:eastAsia="等线"/>
                <w:bCs/>
              </w:rPr>
              <w:t>for a</w:t>
            </w:r>
            <w:r>
              <w:rPr>
                <w:rFonts w:eastAsia="Malgun Gothic"/>
                <w:bCs/>
              </w:rPr>
              <w:t xml:space="preserve"> scheduled cell by a DCI format 0_3/1_3 is 8.</w:t>
            </w:r>
          </w:p>
          <w:p>
            <w:pPr>
              <w:pStyle w:val="33"/>
              <w:numPr>
                <w:ilvl w:val="0"/>
                <w:numId w:val="14"/>
              </w:numPr>
              <w:snapToGrid w:val="0"/>
              <w:spacing w:after="60"/>
              <w:contextualSpacing/>
              <w:rPr>
                <w:lang w:val="en-US" w:eastAsia="zh-CN"/>
              </w:rPr>
            </w:pPr>
            <w:r>
              <w:rPr>
                <w:rFonts w:eastAsia="Malgun Gothic"/>
                <w:bCs/>
              </w:rPr>
              <w:t>Payload size of a DCI format 0_3/1_3 exceeding 140 is not supported in Rel-19.</w:t>
            </w:r>
          </w:p>
        </w:tc>
      </w:tr>
    </w:tbl>
    <w:p>
      <w:pPr>
        <w:spacing w:before="120" w:beforeLines="50"/>
        <w:rPr>
          <w:lang w:val="en-US" w:eastAsia="zh-CN"/>
        </w:rPr>
      </w:pPr>
      <w:r>
        <w:rPr>
          <w:rFonts w:hint="eastAsia"/>
          <w:lang w:val="en-US" w:eastAsia="zh-CN"/>
        </w:rPr>
        <w:t xml:space="preserve">Based on the agreement, there could be up to 8*4=32 PUSCHs/PDSCHs scheduled by a DCI format 0_3/1_3. Since the size of second sub-codebook and/or the UE complexity will be </w:t>
      </w:r>
      <w:r>
        <w:rPr>
          <w:lang w:val="en-US" w:eastAsia="zh-CN"/>
        </w:rPr>
        <w:t>affected</w:t>
      </w:r>
      <w:r>
        <w:rPr>
          <w:rFonts w:hint="eastAsia"/>
          <w:lang w:val="en-US" w:eastAsia="zh-CN"/>
        </w:rPr>
        <w:t xml:space="preserve"> by the total number of PUSCHs/PDSCHs scheduled by</w:t>
      </w:r>
      <w:r>
        <w:rPr>
          <w:lang w:val="en-US" w:eastAsia="zh-CN"/>
        </w:rPr>
        <w:t xml:space="preserve"> DCI</w:t>
      </w:r>
      <w:r>
        <w:rPr>
          <w:rFonts w:hint="eastAsia"/>
          <w:lang w:val="en-US" w:eastAsia="zh-CN"/>
        </w:rPr>
        <w:t xml:space="preserve">, the maximum number of PUSCHs/PDSCHs scheduled per DCI can be configured or reported if needed. </w:t>
      </w:r>
      <w:r>
        <w:rPr>
          <w:lang w:val="en-US" w:eastAsia="zh-CN"/>
        </w:rPr>
        <w:t>In addition to</w:t>
      </w:r>
      <w:r>
        <w:rPr>
          <w:rFonts w:hint="eastAsia"/>
          <w:lang w:val="en-US" w:eastAsia="zh-CN"/>
        </w:rPr>
        <w:t xml:space="preserve"> the maximum number of PUSCHs/PDSCHs scheduled per DCI, other restrictions such as one or multiple combination {X, N} reported by the UE can be also considered, wherein X is the maximum number of PUSCHs/PDSCHs per scheduled cell, N is the maximum number of cells supported in one cell set.</w:t>
      </w:r>
    </w:p>
    <w:p>
      <w:pPr>
        <w:spacing w:before="120" w:beforeLines="50"/>
        <w:rPr>
          <w:i/>
          <w:lang w:val="en-US" w:eastAsia="zh-CN"/>
        </w:rPr>
      </w:pPr>
      <w:r>
        <w:rPr>
          <w:rFonts w:hint="eastAsia"/>
          <w:b/>
          <w:i/>
        </w:rPr>
        <w:t>P</w:t>
      </w:r>
      <w:r>
        <w:rPr>
          <w:b/>
          <w:i/>
        </w:rPr>
        <w:t xml:space="preserve">roposal </w:t>
      </w:r>
      <w:r>
        <w:rPr>
          <w:b/>
          <w:i/>
          <w:lang w:val="en-US" w:eastAsia="zh-CN"/>
        </w:rPr>
        <w:t>5</w:t>
      </w:r>
      <w:r>
        <w:rPr>
          <w:b/>
          <w:i/>
        </w:rPr>
        <w:t>:</w:t>
      </w:r>
      <w:r>
        <w:rPr>
          <w:i/>
        </w:rPr>
        <w:t xml:space="preserve"> </w:t>
      </w:r>
      <w:r>
        <w:rPr>
          <w:rFonts w:hint="eastAsia"/>
          <w:i/>
          <w:lang w:val="en-US" w:eastAsia="zh-CN"/>
        </w:rPr>
        <w:t>T</w:t>
      </w:r>
      <w:r>
        <w:rPr>
          <w:rFonts w:eastAsia="Yu Mincho"/>
          <w:i/>
          <w:lang w:val="en-US"/>
        </w:rPr>
        <w:t xml:space="preserve">he maximum number of </w:t>
      </w:r>
      <w:r>
        <w:rPr>
          <w:rFonts w:hint="eastAsia"/>
          <w:i/>
          <w:lang w:val="en-US" w:eastAsia="zh-CN"/>
        </w:rPr>
        <w:t>PUSCHs/</w:t>
      </w:r>
      <w:r>
        <w:rPr>
          <w:rFonts w:eastAsia="Yu Mincho"/>
          <w:i/>
          <w:lang w:val="en-US"/>
        </w:rPr>
        <w:t xml:space="preserve">PDSCHs per </w:t>
      </w:r>
      <w:r>
        <w:rPr>
          <w:rFonts w:hint="eastAsia"/>
          <w:i/>
          <w:lang w:val="en-US" w:eastAsia="zh-CN"/>
        </w:rPr>
        <w:t>DCI</w:t>
      </w:r>
      <w:r>
        <w:rPr>
          <w:rFonts w:eastAsia="Yu Mincho"/>
          <w:i/>
          <w:lang w:val="en-US"/>
        </w:rPr>
        <w:t xml:space="preserve"> </w:t>
      </w:r>
      <w:r>
        <w:rPr>
          <w:rFonts w:hint="eastAsia"/>
          <w:i/>
          <w:lang w:val="en-US" w:eastAsia="zh-CN"/>
        </w:rPr>
        <w:t>can be configured or reported if needed.</w:t>
      </w:r>
    </w:p>
    <w:p>
      <w:pPr>
        <w:pStyle w:val="2"/>
        <w:rPr>
          <w:lang w:val="en-US" w:eastAsia="zh-CN"/>
        </w:rPr>
      </w:pPr>
      <w:r>
        <w:rPr>
          <w:rFonts w:hint="eastAsia"/>
          <w:lang w:val="en-US" w:eastAsia="zh-CN"/>
        </w:rPr>
        <w:t>RRC parameters</w:t>
      </w:r>
    </w:p>
    <w:p>
      <w:pPr>
        <w:numPr>
          <w:ilvl w:val="0"/>
          <w:numId w:val="18"/>
        </w:numPr>
        <w:spacing w:before="120" w:beforeLines="50"/>
        <w:rPr>
          <w:lang w:val="en-US" w:eastAsia="zh-CN"/>
        </w:rPr>
      </w:pPr>
      <w:r>
        <w:rPr>
          <w:rFonts w:hint="eastAsia"/>
          <w:lang w:val="en-US" w:eastAsia="zh-CN"/>
        </w:rPr>
        <w:t>TDRA</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eastAsia="等线"/>
                <w:highlight w:val="green"/>
              </w:rPr>
            </w:pPr>
            <w:r>
              <w:rPr>
                <w:rFonts w:hint="eastAsia" w:eastAsia="等线"/>
                <w:highlight w:val="green"/>
              </w:rPr>
              <w:t>Agreement</w:t>
            </w:r>
          </w:p>
          <w:p>
            <w:pPr>
              <w:numPr>
                <w:ilvl w:val="0"/>
                <w:numId w:val="19"/>
              </w:numPr>
              <w:snapToGrid w:val="0"/>
              <w:spacing w:after="60"/>
              <w:jc w:val="left"/>
            </w:pPr>
            <w:r>
              <w:t xml:space="preserve">A single TDRA field in DCI format </w:t>
            </w:r>
            <w:r>
              <w:rPr>
                <w:rFonts w:hint="eastAsia" w:eastAsia="Batang"/>
              </w:rPr>
              <w:t>0_3</w:t>
            </w:r>
            <w:r>
              <w:t>/1_</w:t>
            </w:r>
            <w:r>
              <w:rPr>
                <w:rFonts w:hint="eastAsia" w:eastAsia="Batang"/>
              </w:rPr>
              <w:t>3</w:t>
            </w:r>
            <w:r>
              <w:t xml:space="preserve"> </w:t>
            </w:r>
            <w:r>
              <w:rPr>
                <w:rFonts w:hint="eastAsia" w:eastAsia="Batang"/>
              </w:rPr>
              <w:t xml:space="preserve">indicates </w:t>
            </w:r>
            <w:r>
              <w:t>one</w:t>
            </w:r>
            <w:r>
              <w:rPr>
                <w:rFonts w:hint="eastAsia" w:eastAsia="Batang"/>
              </w:rPr>
              <w:t xml:space="preserve"> row from a joint TDRA table</w:t>
            </w:r>
            <w:r>
              <w:t xml:space="preserve">. </w:t>
            </w:r>
          </w:p>
          <w:p>
            <w:pPr>
              <w:numPr>
                <w:ilvl w:val="0"/>
                <w:numId w:val="20"/>
              </w:numPr>
              <w:snapToGrid w:val="0"/>
              <w:spacing w:after="60"/>
              <w:jc w:val="left"/>
              <w:rPr>
                <w:lang w:eastAsia="zh-CN"/>
              </w:rPr>
            </w:pPr>
            <w:r>
              <w:rPr>
                <w:rFonts w:eastAsia="MS Mincho"/>
                <w:bCs/>
              </w:rPr>
              <w:t>Each row in the table contains only one TDRA index for each BWP of each cell within the set of cells</w:t>
            </w:r>
            <w:r>
              <w:rPr>
                <w:rFonts w:hint="eastAsia" w:eastAsia="MS Mincho"/>
                <w:bCs/>
              </w:rPr>
              <w:t>.</w:t>
            </w:r>
            <w:r>
              <w:rPr>
                <w:rFonts w:eastAsia="MS Mincho"/>
                <w:bCs/>
              </w:rPr>
              <w:t xml:space="preserve"> Each TDRA index points to one or multiple time domain resource allocations in the TDRA table applicable for multi-PUSCH/PDSCH scheduling by DCI format 0_3/1_3 for the corresponding cell</w:t>
            </w:r>
            <w:r>
              <w:rPr>
                <w:rFonts w:hint="eastAsia" w:eastAsia="MS Mincho"/>
                <w:bCs/>
              </w:rPr>
              <w:t>.</w:t>
            </w:r>
          </w:p>
        </w:tc>
      </w:tr>
    </w:tbl>
    <w:p>
      <w:pPr>
        <w:spacing w:before="120" w:beforeLines="50"/>
        <w:rPr>
          <w:bCs/>
          <w:lang w:val="en-US" w:eastAsia="zh-CN"/>
        </w:rPr>
      </w:pPr>
      <w:r>
        <w:rPr>
          <w:lang w:val="en-US" w:eastAsia="zh-CN"/>
        </w:rPr>
        <w:t xml:space="preserve">Based on the agreement above, </w:t>
      </w:r>
      <w:r>
        <w:rPr>
          <w:rFonts w:hint="eastAsia"/>
          <w:lang w:val="en-US" w:eastAsia="zh-CN"/>
        </w:rPr>
        <w:t>a</w:t>
      </w:r>
      <w:r>
        <w:t xml:space="preserve"> single TDRA field in DCI format </w:t>
      </w:r>
      <w:r>
        <w:rPr>
          <w:rFonts w:hint="eastAsia"/>
        </w:rPr>
        <w:t>0_3</w:t>
      </w:r>
      <w:r>
        <w:t>/1_</w:t>
      </w:r>
      <w:r>
        <w:rPr>
          <w:rFonts w:hint="eastAsia"/>
        </w:rPr>
        <w:t>3</w:t>
      </w:r>
      <w:r>
        <w:t xml:space="preserve"> </w:t>
      </w:r>
      <w:r>
        <w:rPr>
          <w:rFonts w:hint="eastAsia"/>
        </w:rPr>
        <w:t xml:space="preserve">indicates </w:t>
      </w:r>
      <w:r>
        <w:t>one</w:t>
      </w:r>
      <w:r>
        <w:rPr>
          <w:rFonts w:hint="eastAsia"/>
        </w:rPr>
        <w:t xml:space="preserve"> row from a joint TDRA table</w:t>
      </w:r>
      <w:r>
        <w:t xml:space="preserve">. </w:t>
      </w:r>
      <w:r>
        <w:rPr>
          <w:lang w:val="en-US" w:eastAsia="zh-CN"/>
        </w:rPr>
        <w:t>E</w:t>
      </w:r>
      <w:r>
        <w:rPr>
          <w:rFonts w:eastAsia="MS Mincho"/>
          <w:bCs/>
          <w:lang w:eastAsia="ja-JP"/>
        </w:rPr>
        <w:t>ach row in the table contains only one TDRA index for each BWP of each cell within the set of cells</w:t>
      </w:r>
      <w:r>
        <w:rPr>
          <w:rFonts w:hint="eastAsia" w:eastAsia="MS Mincho"/>
          <w:bCs/>
          <w:lang w:eastAsia="ja-JP"/>
        </w:rPr>
        <w:t>.</w:t>
      </w:r>
      <w:r>
        <w:rPr>
          <w:rFonts w:eastAsia="MS Mincho"/>
          <w:bCs/>
          <w:lang w:eastAsia="ja-JP"/>
        </w:rPr>
        <w:t xml:space="preserve"> Each TDRA index points to one or multiple time domain resource allocations in the TDRA table applicable for multi-PUSCH/PDSCH scheduling by DCI format 0_3/1_3 for the corresponding cell</w:t>
      </w:r>
      <w:r>
        <w:rPr>
          <w:rFonts w:hint="eastAsia" w:eastAsia="MS Mincho"/>
          <w:bCs/>
          <w:lang w:eastAsia="ja-JP"/>
        </w:rPr>
        <w:t>.</w:t>
      </w:r>
      <w:r>
        <w:rPr>
          <w:rFonts w:hint="eastAsia"/>
          <w:bCs/>
          <w:lang w:val="en-US" w:eastAsia="zh-CN"/>
        </w:rPr>
        <w:t xml:space="preserve"> As a result, </w:t>
      </w:r>
      <w:r>
        <w:rPr>
          <w:rFonts w:eastAsia="MS Mincho"/>
          <w:bCs/>
          <w:lang w:eastAsia="ja-JP"/>
        </w:rPr>
        <w:t>the TDRA table</w:t>
      </w:r>
      <w:r>
        <w:rPr>
          <w:rFonts w:hint="eastAsia"/>
          <w:bCs/>
          <w:lang w:val="en-US" w:eastAsia="zh-CN"/>
        </w:rPr>
        <w:t xml:space="preserve"> </w:t>
      </w:r>
      <w:r>
        <w:rPr>
          <w:rFonts w:eastAsia="MS Mincho"/>
          <w:bCs/>
          <w:lang w:eastAsia="ja-JP"/>
        </w:rPr>
        <w:t>applicable for multi-PUSCH/PDSCH scheduling by DCI format 0_3/1_3</w:t>
      </w:r>
      <w:r>
        <w:rPr>
          <w:rFonts w:hint="eastAsia"/>
          <w:bCs/>
          <w:lang w:val="en-US" w:eastAsia="zh-CN"/>
        </w:rPr>
        <w:t xml:space="preserve"> should be introduced.</w:t>
      </w:r>
    </w:p>
    <w:p>
      <w:pPr>
        <w:numPr>
          <w:ilvl w:val="255"/>
          <w:numId w:val="0"/>
        </w:numPr>
        <w:rPr>
          <w:i/>
          <w:iCs/>
          <w:lang w:val="fi-FI"/>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hint="eastAsia"/>
          <w:i/>
          <w:iCs/>
          <w:lang w:val="fi-FI"/>
        </w:rPr>
        <w:t xml:space="preserve">Endorse the following RRC parameters </w:t>
      </w:r>
      <w:r>
        <w:rPr>
          <w:i/>
          <w:iCs/>
          <w:lang w:val="fi-FI"/>
        </w:rPr>
        <w:t xml:space="preserve">for </w:t>
      </w:r>
      <w:r>
        <w:rPr>
          <w:i/>
          <w:iCs/>
          <w:lang w:val="fi-FI" w:eastAsia="zh-CN"/>
        </w:rPr>
        <w:t>Multi-carrier enhancements for NR Phase 3</w:t>
      </w:r>
      <w:r>
        <w:rPr>
          <w:i/>
          <w:iCs/>
          <w:lang w:val="fi-FI"/>
        </w:rPr>
        <w:t>:</w:t>
      </w:r>
    </w:p>
    <w:tbl>
      <w:tblPr>
        <w:tblStyle w:val="22"/>
        <w:tblW w:w="4860" w:type="pct"/>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1202"/>
        <w:gridCol w:w="638"/>
        <w:gridCol w:w="3843"/>
        <w:gridCol w:w="1105"/>
        <w:gridCol w:w="835"/>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82" w:type="pct"/>
            <w:shd w:val="clear" w:color="000000" w:fill="00B0F0"/>
            <w:noWrap/>
          </w:tcPr>
          <w:p>
            <w:pPr>
              <w:numPr>
                <w:ilvl w:val="255"/>
                <w:numId w:val="0"/>
              </w:numPr>
              <w:spacing w:before="60" w:after="60"/>
              <w:rPr>
                <w:rFonts w:eastAsia="等线" w:cs="Arial"/>
                <w:sz w:val="18"/>
                <w:szCs w:val="18"/>
              </w:rPr>
            </w:pPr>
            <w:r>
              <w:t>RAN2 Parent IE</w:t>
            </w:r>
          </w:p>
        </w:tc>
        <w:tc>
          <w:tcPr>
            <w:tcW w:w="626" w:type="pct"/>
            <w:shd w:val="clear" w:color="000000" w:fill="00B0F0"/>
          </w:tcPr>
          <w:p>
            <w:pPr>
              <w:numPr>
                <w:ilvl w:val="255"/>
                <w:numId w:val="0"/>
              </w:numPr>
              <w:spacing w:before="60" w:after="60"/>
              <w:rPr>
                <w:rFonts w:eastAsia="等线" w:cs="Arial"/>
                <w:sz w:val="18"/>
                <w:szCs w:val="18"/>
              </w:rPr>
            </w:pPr>
            <w:r>
              <w:t>Parameter name in the spec</w:t>
            </w:r>
          </w:p>
        </w:tc>
        <w:tc>
          <w:tcPr>
            <w:tcW w:w="333" w:type="pct"/>
            <w:shd w:val="clear" w:color="000000" w:fill="00B0F0"/>
            <w:noWrap/>
          </w:tcPr>
          <w:p>
            <w:pPr>
              <w:numPr>
                <w:ilvl w:val="255"/>
                <w:numId w:val="0"/>
              </w:numPr>
              <w:spacing w:before="60" w:after="60"/>
            </w:pPr>
            <w:r>
              <w:t>New or existing?</w:t>
            </w:r>
          </w:p>
          <w:p>
            <w:pPr>
              <w:spacing w:before="60" w:after="60"/>
              <w:rPr>
                <w:rFonts w:eastAsia="等线" w:cs="Arial"/>
                <w:sz w:val="18"/>
                <w:szCs w:val="18"/>
              </w:rPr>
            </w:pPr>
          </w:p>
        </w:tc>
        <w:tc>
          <w:tcPr>
            <w:tcW w:w="2004" w:type="pct"/>
            <w:shd w:val="clear" w:color="000000" w:fill="00B0F0"/>
          </w:tcPr>
          <w:p>
            <w:pPr>
              <w:numPr>
                <w:ilvl w:val="255"/>
                <w:numId w:val="0"/>
              </w:numPr>
              <w:spacing w:before="60" w:after="60"/>
            </w:pPr>
            <w:r>
              <w:t>Default value aspect</w:t>
            </w:r>
          </w:p>
          <w:p>
            <w:pPr>
              <w:numPr>
                <w:ilvl w:val="255"/>
                <w:numId w:val="0"/>
              </w:numPr>
              <w:spacing w:before="60" w:after="60"/>
            </w:pPr>
            <w:r>
              <w:t>Description</w:t>
            </w:r>
          </w:p>
          <w:p>
            <w:pPr>
              <w:spacing w:before="60" w:after="60"/>
              <w:rPr>
                <w:rFonts w:eastAsia="等线" w:cs="Arial"/>
                <w:sz w:val="18"/>
                <w:szCs w:val="18"/>
              </w:rPr>
            </w:pPr>
          </w:p>
        </w:tc>
        <w:tc>
          <w:tcPr>
            <w:tcW w:w="576" w:type="pct"/>
            <w:shd w:val="clear" w:color="000000" w:fill="00B0F0"/>
          </w:tcPr>
          <w:p>
            <w:pPr>
              <w:numPr>
                <w:ilvl w:val="255"/>
                <w:numId w:val="0"/>
              </w:numPr>
              <w:spacing w:before="60" w:after="60"/>
              <w:rPr>
                <w:rFonts w:eastAsia="等线" w:cs="Arial"/>
                <w:sz w:val="18"/>
                <w:szCs w:val="18"/>
              </w:rPr>
            </w:pPr>
            <w:r>
              <w:t>Value range</w:t>
            </w:r>
          </w:p>
        </w:tc>
        <w:tc>
          <w:tcPr>
            <w:tcW w:w="436" w:type="pct"/>
            <w:shd w:val="clear" w:color="000000" w:fill="00B0F0"/>
          </w:tcPr>
          <w:p>
            <w:pPr>
              <w:numPr>
                <w:ilvl w:val="255"/>
                <w:numId w:val="0"/>
              </w:numPr>
              <w:spacing w:before="60" w:after="60"/>
            </w:pPr>
            <w:r>
              <w:t>Per (UE, cell, TRP, …)</w:t>
            </w:r>
          </w:p>
        </w:tc>
        <w:tc>
          <w:tcPr>
            <w:tcW w:w="438" w:type="pct"/>
            <w:shd w:val="clear" w:color="000000" w:fill="00B0F0"/>
          </w:tcPr>
          <w:p>
            <w:pPr>
              <w:numPr>
                <w:ilvl w:val="255"/>
                <w:numId w:val="0"/>
              </w:numPr>
              <w:spacing w:before="60" w:after="60"/>
            </w:pPr>
            <w:r>
              <w:t>UE-specific or Cell-specific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2"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ServingCellConfig</w:t>
            </w:r>
          </w:p>
        </w:tc>
        <w:tc>
          <w:tcPr>
            <w:tcW w:w="62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TDRA-FieldIndexDCI-1-3</w:t>
            </w:r>
          </w:p>
        </w:tc>
        <w:tc>
          <w:tcPr>
            <w:tcW w:w="333" w:type="pct"/>
            <w:shd w:val="clear" w:color="auto" w:fill="auto"/>
            <w:noWrap/>
            <w:vAlign w:val="center"/>
          </w:tcPr>
          <w:p>
            <w:pPr>
              <w:numPr>
                <w:ilvl w:val="255"/>
                <w:numId w:val="0"/>
              </w:numPr>
              <w:spacing w:before="60" w:after="60"/>
              <w:rPr>
                <w:rFonts w:eastAsia="等线" w:cs="Arial"/>
                <w:strike/>
                <w:sz w:val="18"/>
                <w:szCs w:val="18"/>
              </w:rPr>
            </w:pPr>
            <w:r>
              <w:rPr>
                <w:rFonts w:hint="eastAsia" w:eastAsia="等线" w:cs="Arial"/>
                <w:sz w:val="18"/>
                <w:szCs w:val="18"/>
                <w:lang w:val="en-US" w:eastAsia="zh-CN"/>
              </w:rPr>
              <w:t>Existing</w:t>
            </w:r>
          </w:p>
        </w:tc>
        <w:tc>
          <w:tcPr>
            <w:tcW w:w="2004" w:type="pct"/>
            <w:shd w:val="clear" w:color="auto" w:fill="auto"/>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1-1</w:t>
            </w:r>
            <w:r>
              <w:rPr>
                <w:rFonts w:hint="eastAsia" w:eastAsia="等线" w:cs="Arial"/>
                <w:color w:val="FF0000"/>
                <w:sz w:val="18"/>
                <w:szCs w:val="18"/>
                <w:u w:val="single"/>
                <w:lang w:val="en-US" w:eastAsia="zh-CN"/>
              </w:rPr>
              <w:t xml:space="preserve"> </w:t>
            </w:r>
            <w:r>
              <w:rPr>
                <w:rFonts w:eastAsia="等线" w:cs="Arial"/>
                <w:color w:val="FF0000"/>
                <w:sz w:val="18"/>
                <w:szCs w:val="18"/>
                <w:u w:val="single"/>
                <w:lang w:val="en-US" w:eastAsia="zh-CN"/>
              </w:rPr>
              <w:t>if</w:t>
            </w:r>
            <w:r>
              <w:t xml:space="preserve"> </w:t>
            </w:r>
            <w:r>
              <w:rPr>
                <w:rFonts w:eastAsia="等线" w:cs="Arial"/>
                <w:color w:val="FF0000"/>
                <w:sz w:val="18"/>
                <w:szCs w:val="18"/>
                <w:u w:val="single"/>
                <w:lang w:val="en-US" w:eastAsia="zh-CN"/>
              </w:rPr>
              <w:t>pdsch-TimeDomainAllocationListForMultiPDSCH-1-3 is not configured</w:t>
            </w:r>
            <w:r>
              <w:rPr>
                <w:rFonts w:hint="eastAsia" w:eastAsia="等线" w:cs="Arial"/>
                <w:color w:val="FF0000"/>
                <w:sz w:val="18"/>
                <w:szCs w:val="18"/>
                <w:u w:val="single"/>
                <w:lang w:val="en-US" w:eastAsia="zh-CN"/>
              </w:rPr>
              <w:t xml:space="preserve">, or </w:t>
            </w:r>
            <w:r>
              <w:rPr>
                <w:rFonts w:eastAsia="等线" w:cs="Arial"/>
                <w:color w:val="FF0000"/>
                <w:sz w:val="18"/>
                <w:szCs w:val="18"/>
                <w:u w:val="single"/>
                <w:lang w:val="en-US" w:eastAsia="zh-CN"/>
              </w:rPr>
              <w:t xml:space="preserve">in </w:t>
            </w:r>
            <w:r>
              <w:rPr>
                <w:rFonts w:hint="eastAsia" w:eastAsia="等线" w:cs="Arial"/>
                <w:color w:val="FF0000"/>
                <w:sz w:val="18"/>
                <w:szCs w:val="18"/>
                <w:u w:val="single"/>
                <w:lang w:val="en-US" w:eastAsia="zh-CN"/>
              </w:rPr>
              <w:t xml:space="preserve">the </w:t>
            </w:r>
            <w:r>
              <w:rPr>
                <w:rFonts w:hint="eastAsia" w:eastAsia="等线" w:cs="Arial"/>
                <w:color w:val="FF0000"/>
                <w:sz w:val="18"/>
                <w:szCs w:val="18"/>
                <w:u w:val="single"/>
              </w:rPr>
              <w:t>TDRA table</w:t>
            </w:r>
            <w:r>
              <w:rPr>
                <w:rFonts w:eastAsia="等线" w:cs="Arial"/>
                <w:color w:val="FF0000"/>
                <w:sz w:val="18"/>
                <w:szCs w:val="18"/>
                <w:u w:val="single"/>
                <w:lang w:val="en-US" w:eastAsia="zh-CN"/>
              </w:rPr>
              <w:t xml:space="preserve"> </w:t>
            </w:r>
            <w:r>
              <w:rPr>
                <w:rFonts w:eastAsia="等线" w:cs="Arial"/>
                <w:color w:val="FF0000"/>
                <w:sz w:val="18"/>
                <w:szCs w:val="18"/>
                <w:u w:val="single"/>
              </w:rPr>
              <w:t xml:space="preserve">configured by </w:t>
            </w:r>
            <w:r>
              <w:rPr>
                <w:rFonts w:eastAsia="等线" w:cs="Arial"/>
                <w:color w:val="FF0000"/>
                <w:sz w:val="18"/>
                <w:szCs w:val="18"/>
                <w:u w:val="single"/>
                <w:lang w:val="en-US" w:eastAsia="zh-CN"/>
              </w:rPr>
              <w:t>pdsch-TimeDomainAllocationListForMultiPDSCH-1-3</w:t>
            </w:r>
            <w:r>
              <w:rPr>
                <w:rFonts w:hint="eastAsia" w:eastAsia="等线" w:cs="Arial"/>
                <w:sz w:val="18"/>
                <w:szCs w:val="18"/>
              </w:rPr>
              <w:t>, the order of TDRA index in each row refers the BWP-Id for a cell and the order of cells in scheduledCellListDCI-1-3 (i.e., first TDRA index in a row is for the smallest BWP-Id that can be scheduled by the DCI format 1-3, as specified in TS 38.212 [17], of the first cell in scheduledCellListDCI-1-3, second TDRA index in a row is for the second smallest BWP-Id that can be scheduled by the DCI format 1-3, as specified in TS 38.212 [17], of the first cell and so on ), and the number of TDRA indices in a row of TDRA-FieldIndexDCI-1-3 should be the same as the total number of BWPs that can be scheduled by the DCI format 1-3, as specified in TS 38.212 [17], across cells included in scheduledCellListDCI-1-3.</w:t>
            </w:r>
          </w:p>
        </w:tc>
        <w:tc>
          <w:tcPr>
            <w:tcW w:w="57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 xml:space="preserve">SEQUENCE (SIZE (2..16)) OF INTEGER (0..maxNrofDL-Allocations-1) </w:t>
            </w:r>
          </w:p>
        </w:tc>
        <w:tc>
          <w:tcPr>
            <w:tcW w:w="436" w:type="pct"/>
            <w:vAlign w:val="center"/>
          </w:tcPr>
          <w:p>
            <w:pPr>
              <w:numPr>
                <w:ilvl w:val="255"/>
                <w:numId w:val="0"/>
              </w:numPr>
              <w:spacing w:before="60" w:after="60"/>
              <w:rPr>
                <w:rFonts w:eastAsia="等线" w:cs="Arial"/>
                <w:sz w:val="18"/>
                <w:szCs w:val="18"/>
              </w:rPr>
            </w:pPr>
            <w:r>
              <w:rPr>
                <w:rFonts w:hint="eastAsia" w:eastAsia="等线" w:cs="Arial"/>
                <w:sz w:val="18"/>
                <w:szCs w:val="18"/>
              </w:rPr>
              <w:t>per set of cells</w:t>
            </w:r>
          </w:p>
          <w:p>
            <w:pPr>
              <w:numPr>
                <w:ilvl w:val="255"/>
                <w:numId w:val="0"/>
              </w:numPr>
              <w:spacing w:before="60" w:after="60"/>
              <w:rPr>
                <w:rFonts w:eastAsia="等线" w:cs="Arial"/>
                <w:sz w:val="18"/>
                <w:szCs w:val="18"/>
              </w:rPr>
            </w:pPr>
            <w:r>
              <w:rPr>
                <w:rFonts w:hint="eastAsia" w:eastAsia="等线" w:cs="Arial"/>
                <w:sz w:val="18"/>
                <w:szCs w:val="18"/>
              </w:rPr>
              <w:t>(TDRA-FieldIndexListDCI-1-3)</w:t>
            </w:r>
          </w:p>
        </w:tc>
        <w:tc>
          <w:tcPr>
            <w:tcW w:w="438"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2"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PDSCH-Config</w:t>
            </w:r>
          </w:p>
        </w:tc>
        <w:tc>
          <w:tcPr>
            <w:tcW w:w="626" w:type="pct"/>
            <w:shd w:val="clear" w:color="auto" w:fill="auto"/>
            <w:vAlign w:val="center"/>
          </w:tcPr>
          <w:p>
            <w:pPr>
              <w:numPr>
                <w:ilvl w:val="255"/>
                <w:numId w:val="0"/>
              </w:numPr>
              <w:spacing w:before="60" w:after="60"/>
              <w:rPr>
                <w:rFonts w:eastAsia="等线" w:cs="Arial"/>
                <w:sz w:val="18"/>
                <w:szCs w:val="18"/>
                <w:lang w:val="en-US" w:eastAsia="zh-CN"/>
              </w:rPr>
            </w:pPr>
            <w:bookmarkStart w:id="1" w:name="OLE_LINK1"/>
            <w:r>
              <w:rPr>
                <w:rFonts w:hint="eastAsia" w:eastAsia="等线" w:cs="Arial"/>
                <w:sz w:val="18"/>
                <w:szCs w:val="18"/>
              </w:rPr>
              <w:t>pdsch-TimeDomainAllocationListForMultiPDSCH</w:t>
            </w:r>
            <w:bookmarkEnd w:id="1"/>
            <w:r>
              <w:rPr>
                <w:rFonts w:hint="eastAsia" w:eastAsia="等线" w:cs="Arial"/>
                <w:sz w:val="18"/>
                <w:szCs w:val="18"/>
              </w:rPr>
              <w:t>-</w:t>
            </w:r>
            <w:r>
              <w:rPr>
                <w:rFonts w:hint="eastAsia" w:eastAsia="等线" w:cs="Arial"/>
                <w:sz w:val="18"/>
                <w:szCs w:val="18"/>
                <w:lang w:val="en-US" w:eastAsia="zh-CN"/>
              </w:rPr>
              <w:t>1-3</w:t>
            </w:r>
          </w:p>
        </w:tc>
        <w:tc>
          <w:tcPr>
            <w:tcW w:w="333" w:type="pct"/>
            <w:shd w:val="clear" w:color="auto" w:fill="auto"/>
            <w:noWrap/>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N</w:t>
            </w:r>
            <w:r>
              <w:rPr>
                <w:rFonts w:hint="eastAsia" w:eastAsia="等线" w:cs="Arial"/>
                <w:sz w:val="18"/>
                <w:szCs w:val="18"/>
              </w:rPr>
              <w:t>ew</w:t>
            </w:r>
          </w:p>
        </w:tc>
        <w:tc>
          <w:tcPr>
            <w:tcW w:w="2004" w:type="pct"/>
            <w:shd w:val="clear" w:color="auto" w:fill="auto"/>
            <w:vAlign w:val="center"/>
          </w:tcPr>
          <w:p>
            <w:pPr>
              <w:numPr>
                <w:ilvl w:val="255"/>
                <w:numId w:val="0"/>
              </w:numPr>
              <w:spacing w:before="60" w:after="60"/>
              <w:rPr>
                <w:rFonts w:eastAsia="等线" w:cs="Arial"/>
                <w:sz w:val="18"/>
                <w:szCs w:val="18"/>
              </w:rPr>
            </w:pPr>
            <w:r>
              <w:rPr>
                <w:rFonts w:eastAsia="等线" w:cs="Arial"/>
                <w:sz w:val="18"/>
                <w:szCs w:val="18"/>
              </w:rPr>
              <w:t>Time domain resource allocations table is only used for multi-PDSCH scheduling by DCI format 1_3. The TDRA index indicated by the DCI format 1_3 points to one or multiple time domain resource allocations in this TDRA table</w:t>
            </w:r>
          </w:p>
        </w:tc>
        <w:tc>
          <w:tcPr>
            <w:tcW w:w="576" w:type="pct"/>
            <w:shd w:val="clear" w:color="auto" w:fill="auto"/>
            <w:vAlign w:val="center"/>
          </w:tcPr>
          <w:p>
            <w:pPr>
              <w:numPr>
                <w:ilvl w:val="255"/>
                <w:numId w:val="0"/>
              </w:numPr>
              <w:spacing w:before="60" w:after="60"/>
              <w:rPr>
                <w:rFonts w:eastAsia="等线" w:cs="Arial"/>
                <w:sz w:val="18"/>
                <w:szCs w:val="18"/>
              </w:rPr>
            </w:pPr>
            <w:r>
              <w:rPr>
                <w:rFonts w:eastAsia="等线" w:cs="Arial"/>
                <w:sz w:val="18"/>
                <w:szCs w:val="18"/>
              </w:rPr>
              <w:t>MultiPDSCH-TDRA-r17</w:t>
            </w:r>
          </w:p>
        </w:tc>
        <w:tc>
          <w:tcPr>
            <w:tcW w:w="436" w:type="pct"/>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per BWP</w:t>
            </w:r>
          </w:p>
        </w:tc>
        <w:tc>
          <w:tcPr>
            <w:tcW w:w="438"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5" w:hRule="atLeast"/>
        </w:trPr>
        <w:tc>
          <w:tcPr>
            <w:tcW w:w="1117" w:type="dxa"/>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ServingCellConfig</w:t>
            </w:r>
          </w:p>
        </w:tc>
        <w:tc>
          <w:tcPr>
            <w:tcW w:w="1201" w:type="dxa"/>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TDRA-FieldIndexDCI-</w:t>
            </w:r>
            <w:r>
              <w:rPr>
                <w:rFonts w:hint="eastAsia" w:eastAsia="等线" w:cs="Arial"/>
                <w:sz w:val="18"/>
                <w:szCs w:val="18"/>
                <w:lang w:val="en-US" w:eastAsia="zh-CN"/>
              </w:rPr>
              <w:t>0</w:t>
            </w:r>
            <w:r>
              <w:rPr>
                <w:rFonts w:hint="eastAsia" w:eastAsia="等线" w:cs="Arial"/>
                <w:sz w:val="18"/>
                <w:szCs w:val="18"/>
              </w:rPr>
              <w:t>-3</w:t>
            </w:r>
          </w:p>
        </w:tc>
        <w:tc>
          <w:tcPr>
            <w:tcW w:w="639" w:type="dxa"/>
            <w:shd w:val="clear" w:color="auto" w:fill="auto"/>
            <w:noWrap/>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Existing</w:t>
            </w:r>
          </w:p>
        </w:tc>
        <w:tc>
          <w:tcPr>
            <w:tcW w:w="3840" w:type="dxa"/>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0_1</w:t>
            </w:r>
            <w:r>
              <w:rPr>
                <w:rFonts w:hint="eastAsia" w:eastAsia="等线" w:cs="Arial"/>
                <w:color w:val="FF0000"/>
                <w:sz w:val="18"/>
                <w:szCs w:val="18"/>
                <w:u w:val="single"/>
                <w:lang w:val="en-US" w:eastAsia="zh-CN"/>
              </w:rPr>
              <w:t xml:space="preserve"> </w:t>
            </w:r>
            <w:r>
              <w:rPr>
                <w:rFonts w:eastAsia="等线" w:cs="Arial"/>
                <w:color w:val="FF0000"/>
                <w:sz w:val="18"/>
                <w:szCs w:val="18"/>
                <w:u w:val="single"/>
                <w:lang w:val="en-US" w:eastAsia="zh-CN"/>
              </w:rPr>
              <w:t>if pusch-TimeDomainAllocationListForMultiPUSCH-0-3 is not configured</w:t>
            </w:r>
            <w:r>
              <w:rPr>
                <w:rFonts w:hint="eastAsia" w:eastAsia="等线" w:cs="Arial"/>
                <w:color w:val="FF0000"/>
                <w:sz w:val="18"/>
                <w:szCs w:val="18"/>
                <w:u w:val="single"/>
                <w:lang w:val="en-US" w:eastAsia="zh-CN"/>
              </w:rPr>
              <w:t xml:space="preserve">, or </w:t>
            </w:r>
            <w:r>
              <w:rPr>
                <w:rFonts w:eastAsia="等线" w:cs="Arial"/>
                <w:color w:val="FF0000"/>
                <w:sz w:val="18"/>
                <w:szCs w:val="18"/>
                <w:u w:val="single"/>
                <w:lang w:val="en-US" w:eastAsia="zh-CN"/>
              </w:rPr>
              <w:t xml:space="preserve">in </w:t>
            </w:r>
            <w:r>
              <w:rPr>
                <w:rFonts w:hint="eastAsia" w:eastAsia="等线" w:cs="Arial"/>
                <w:color w:val="FF0000"/>
                <w:sz w:val="18"/>
                <w:szCs w:val="18"/>
                <w:u w:val="single"/>
                <w:lang w:val="en-US" w:eastAsia="zh-CN"/>
              </w:rPr>
              <w:t xml:space="preserve">the </w:t>
            </w:r>
            <w:r>
              <w:rPr>
                <w:rFonts w:hint="eastAsia" w:eastAsia="等线" w:cs="Arial"/>
                <w:color w:val="FF0000"/>
                <w:sz w:val="18"/>
                <w:szCs w:val="18"/>
                <w:u w:val="single"/>
              </w:rPr>
              <w:t xml:space="preserve">TDRA table </w:t>
            </w:r>
            <w:r>
              <w:rPr>
                <w:rFonts w:eastAsia="等线" w:cs="Arial"/>
                <w:color w:val="FF0000"/>
                <w:sz w:val="18"/>
                <w:szCs w:val="18"/>
                <w:u w:val="single"/>
                <w:lang w:val="en-US" w:eastAsia="zh-CN"/>
              </w:rPr>
              <w:t>configured by pusch-TimeDomainAllocationListForMultiPUSCH-0-3</w:t>
            </w:r>
            <w:r>
              <w:rPr>
                <w:rFonts w:hint="eastAsia" w:eastAsia="等线" w:cs="Arial"/>
                <w:sz w:val="18"/>
                <w:szCs w:val="18"/>
              </w:rPr>
              <w:t>, the order of TDRA index in each row refers the BWP-Id for a cell and the order of cells in scheduledCellListDCI-0-3 (i.e., first TDRA index in a row is for the smallest BWP-Id that can be scheduled by the DCI format 0_3, as specified in TS 38.212 [17], of the first cell in scheduledCellListDCI-0-3, second TDRA index in a row is for the second smallest BWP-Id 1 that can be scheduled by the DCI format 0_3, as specified in TS 38.212 [17], of the first cell and so on), and the number of TDRA indices in a row of TDRA-FieldIndexDCI-0-3 should be the same as the total number of BWPs that can be scheduled by the DCI format 0_3, as specified in TS 38.212 [17], across cells included in scheduledCellListDCI-0-3.</w:t>
            </w:r>
          </w:p>
        </w:tc>
        <w:tc>
          <w:tcPr>
            <w:tcW w:w="1105" w:type="dxa"/>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 xml:space="preserve">SEQUENCE (SIZE (2..16)) OF INTEGER (0..maxNrofUL-Allocations-r16-1) </w:t>
            </w:r>
          </w:p>
        </w:tc>
        <w:tc>
          <w:tcPr>
            <w:tcW w:w="837" w:type="dxa"/>
            <w:vAlign w:val="center"/>
          </w:tcPr>
          <w:p>
            <w:pPr>
              <w:numPr>
                <w:ilvl w:val="255"/>
                <w:numId w:val="0"/>
              </w:numPr>
              <w:spacing w:before="60" w:after="60"/>
              <w:rPr>
                <w:rFonts w:eastAsia="等线" w:cs="Arial"/>
                <w:sz w:val="18"/>
                <w:szCs w:val="18"/>
              </w:rPr>
            </w:pPr>
            <w:r>
              <w:rPr>
                <w:rFonts w:hint="eastAsia" w:eastAsia="等线" w:cs="Arial"/>
                <w:sz w:val="18"/>
                <w:szCs w:val="18"/>
              </w:rPr>
              <w:t>per set of cells</w:t>
            </w:r>
          </w:p>
          <w:p>
            <w:pPr>
              <w:numPr>
                <w:ilvl w:val="255"/>
                <w:numId w:val="0"/>
              </w:numPr>
              <w:spacing w:before="60" w:after="60"/>
              <w:rPr>
                <w:rFonts w:eastAsia="等线" w:cs="Arial"/>
                <w:sz w:val="18"/>
                <w:szCs w:val="18"/>
                <w:lang w:val="en-US" w:eastAsia="zh-CN"/>
              </w:rPr>
            </w:pPr>
            <w:r>
              <w:rPr>
                <w:rFonts w:hint="eastAsia" w:eastAsia="等线" w:cs="Arial"/>
                <w:sz w:val="18"/>
                <w:szCs w:val="18"/>
              </w:rPr>
              <w:t>(TDRA-FieldIndexListDCI-0-3)</w:t>
            </w:r>
          </w:p>
        </w:tc>
        <w:tc>
          <w:tcPr>
            <w:tcW w:w="841" w:type="dxa"/>
            <w:vAlign w:val="center"/>
          </w:tcPr>
          <w:p>
            <w:pPr>
              <w:numPr>
                <w:ilvl w:val="255"/>
                <w:numId w:val="0"/>
              </w:numPr>
              <w:spacing w:before="60" w:after="60"/>
              <w:rPr>
                <w:rFonts w:eastAsia="等线" w:cs="Arial"/>
                <w:sz w:val="18"/>
                <w:szCs w:val="18"/>
              </w:rPr>
            </w:pPr>
            <w:r>
              <w:rPr>
                <w:rFonts w:hint="eastAsia" w:eastAsia="等线" w:cs="Arial"/>
                <w:sz w:val="18"/>
                <w:szCs w:val="18"/>
              </w:rPr>
              <w:t>UE-specific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2"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P</w:t>
            </w:r>
            <w:r>
              <w:rPr>
                <w:rFonts w:hint="eastAsia" w:eastAsia="等线" w:cs="Arial"/>
                <w:sz w:val="18"/>
                <w:szCs w:val="18"/>
                <w:lang w:val="en-US" w:eastAsia="zh-CN"/>
              </w:rPr>
              <w:t>U</w:t>
            </w:r>
            <w:r>
              <w:rPr>
                <w:rFonts w:hint="eastAsia" w:eastAsia="等线" w:cs="Arial"/>
                <w:sz w:val="18"/>
                <w:szCs w:val="18"/>
              </w:rPr>
              <w:t>SCH-Config</w:t>
            </w:r>
          </w:p>
        </w:tc>
        <w:tc>
          <w:tcPr>
            <w:tcW w:w="62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p</w:t>
            </w:r>
            <w:r>
              <w:rPr>
                <w:rFonts w:hint="eastAsia" w:eastAsia="等线" w:cs="Arial"/>
                <w:sz w:val="18"/>
                <w:szCs w:val="18"/>
                <w:lang w:val="en-US" w:eastAsia="zh-CN"/>
              </w:rPr>
              <w:t>u</w:t>
            </w:r>
            <w:r>
              <w:rPr>
                <w:rFonts w:hint="eastAsia" w:eastAsia="等线" w:cs="Arial"/>
                <w:sz w:val="18"/>
                <w:szCs w:val="18"/>
              </w:rPr>
              <w:t>sch-TimeDomainAllocationListForMultiP</w:t>
            </w:r>
            <w:r>
              <w:rPr>
                <w:rFonts w:hint="eastAsia" w:eastAsia="等线" w:cs="Arial"/>
                <w:sz w:val="18"/>
                <w:szCs w:val="18"/>
                <w:lang w:val="en-US" w:eastAsia="zh-CN"/>
              </w:rPr>
              <w:t>U</w:t>
            </w:r>
            <w:r>
              <w:rPr>
                <w:rFonts w:hint="eastAsia" w:eastAsia="等线" w:cs="Arial"/>
                <w:sz w:val="18"/>
                <w:szCs w:val="18"/>
              </w:rPr>
              <w:t>SCH-</w:t>
            </w:r>
            <w:r>
              <w:rPr>
                <w:rFonts w:hint="eastAsia" w:eastAsia="等线" w:cs="Arial"/>
                <w:sz w:val="18"/>
                <w:szCs w:val="18"/>
                <w:lang w:val="en-US" w:eastAsia="zh-CN"/>
              </w:rPr>
              <w:t>0-3</w:t>
            </w:r>
          </w:p>
        </w:tc>
        <w:tc>
          <w:tcPr>
            <w:tcW w:w="333" w:type="pct"/>
            <w:shd w:val="clear" w:color="auto" w:fill="auto"/>
            <w:noWrap/>
            <w:vAlign w:val="center"/>
          </w:tcPr>
          <w:p>
            <w:pPr>
              <w:numPr>
                <w:ilvl w:val="255"/>
                <w:numId w:val="0"/>
              </w:numPr>
              <w:spacing w:before="60" w:after="60"/>
              <w:rPr>
                <w:rFonts w:eastAsia="等线" w:cs="Arial"/>
                <w:sz w:val="18"/>
                <w:szCs w:val="18"/>
              </w:rPr>
            </w:pPr>
            <w:r>
              <w:rPr>
                <w:rFonts w:eastAsia="等线" w:cs="Arial"/>
                <w:sz w:val="18"/>
                <w:szCs w:val="18"/>
              </w:rPr>
              <w:t>New</w:t>
            </w:r>
          </w:p>
        </w:tc>
        <w:tc>
          <w:tcPr>
            <w:tcW w:w="2004"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 xml:space="preserve">Configuration of the time domain resource allocation (TDRA) table </w:t>
            </w:r>
            <w:r>
              <w:rPr>
                <w:rFonts w:eastAsia="等线" w:cs="Arial"/>
                <w:sz w:val="18"/>
                <w:szCs w:val="18"/>
              </w:rPr>
              <w:t xml:space="preserve">only </w:t>
            </w:r>
            <w:r>
              <w:rPr>
                <w:rFonts w:hint="eastAsia" w:eastAsia="等线" w:cs="Arial"/>
                <w:sz w:val="18"/>
                <w:szCs w:val="18"/>
              </w:rPr>
              <w:t xml:space="preserve">for </w:t>
            </w:r>
            <w:r>
              <w:rPr>
                <w:rFonts w:eastAsia="等线" w:cs="Arial"/>
                <w:sz w:val="18"/>
                <w:szCs w:val="18"/>
              </w:rPr>
              <w:t>multi-P</w:t>
            </w:r>
            <w:r>
              <w:rPr>
                <w:rFonts w:hint="eastAsia" w:eastAsia="等线" w:cs="Arial"/>
                <w:sz w:val="18"/>
                <w:szCs w:val="18"/>
                <w:lang w:val="en-US" w:eastAsia="zh-CN"/>
              </w:rPr>
              <w:t>U</w:t>
            </w:r>
            <w:r>
              <w:rPr>
                <w:rFonts w:eastAsia="等线" w:cs="Arial"/>
                <w:sz w:val="18"/>
                <w:szCs w:val="18"/>
              </w:rPr>
              <w:t xml:space="preserve">SCH scheduling by DCI format 0_3. The TDRA index indicated by the DCI format 0_3 points to one or multiple time domain resource allocations in this TDRA table.  </w:t>
            </w:r>
          </w:p>
        </w:tc>
        <w:tc>
          <w:tcPr>
            <w:tcW w:w="576" w:type="pct"/>
            <w:shd w:val="clear" w:color="auto" w:fill="auto"/>
            <w:vAlign w:val="center"/>
          </w:tcPr>
          <w:p>
            <w:pPr>
              <w:numPr>
                <w:ilvl w:val="255"/>
                <w:numId w:val="0"/>
              </w:numPr>
              <w:spacing w:before="60" w:after="60"/>
              <w:rPr>
                <w:rFonts w:eastAsia="等线" w:cs="Arial"/>
                <w:sz w:val="18"/>
                <w:szCs w:val="18"/>
              </w:rPr>
            </w:pPr>
            <w:r>
              <w:rPr>
                <w:rFonts w:eastAsia="等线" w:cs="Arial"/>
                <w:sz w:val="18"/>
                <w:szCs w:val="18"/>
              </w:rPr>
              <w:t>PUSCH-TimeDomainResourceAllocationList-r16</w:t>
            </w:r>
          </w:p>
        </w:tc>
        <w:tc>
          <w:tcPr>
            <w:tcW w:w="436" w:type="pct"/>
            <w:vAlign w:val="center"/>
          </w:tcPr>
          <w:p>
            <w:pPr>
              <w:numPr>
                <w:ilvl w:val="255"/>
                <w:numId w:val="0"/>
              </w:numPr>
              <w:spacing w:before="60" w:after="60"/>
              <w:rPr>
                <w:rFonts w:eastAsia="等线" w:cs="Arial"/>
                <w:sz w:val="18"/>
                <w:szCs w:val="18"/>
              </w:rPr>
            </w:pPr>
            <w:r>
              <w:rPr>
                <w:rFonts w:hint="eastAsia" w:eastAsia="等线" w:cs="Arial"/>
                <w:sz w:val="18"/>
                <w:szCs w:val="18"/>
                <w:lang w:val="en-US" w:eastAsia="zh-CN"/>
              </w:rPr>
              <w:t>per BWP</w:t>
            </w:r>
          </w:p>
        </w:tc>
        <w:tc>
          <w:tcPr>
            <w:tcW w:w="438"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bl>
    <w:p>
      <w:pPr>
        <w:spacing w:before="120" w:beforeLines="50"/>
        <w:rPr>
          <w:lang w:val="en-US" w:eastAsia="zh-CN"/>
        </w:rPr>
      </w:pPr>
    </w:p>
    <w:p>
      <w:pPr>
        <w:spacing w:before="120" w:beforeLines="50"/>
        <w:rPr>
          <w:i/>
          <w:lang w:val="en-US" w:eastAsia="zh-CN"/>
        </w:rPr>
      </w:pPr>
    </w:p>
    <w:p>
      <w:pPr>
        <w:pStyle w:val="2"/>
      </w:pPr>
      <w:r>
        <w:t>Conclusion</w:t>
      </w:r>
    </w:p>
    <w:p>
      <w:pPr>
        <w:spacing w:before="120" w:beforeLines="50"/>
        <w:rPr>
          <w:i/>
          <w:lang w:val="en-US" w:eastAsia="zh-CN"/>
        </w:rPr>
      </w:pPr>
      <w:r>
        <w:rPr>
          <w:rFonts w:hint="eastAsia"/>
          <w:b/>
          <w:bCs/>
          <w:i/>
          <w:lang w:val="en-US" w:eastAsia="zh-CN"/>
        </w:rPr>
        <w:t>Proposal 1:</w:t>
      </w:r>
      <w:r>
        <w:rPr>
          <w:rFonts w:hint="eastAsia"/>
          <w:i/>
          <w:lang w:val="en-US" w:eastAsia="zh-CN"/>
        </w:rPr>
        <w:t xml:space="preserve"> Consider the case involving three different SCS can be scheduled by a DCI format 0_3/1_3 in Rel-19.</w:t>
      </w:r>
    </w:p>
    <w:p>
      <w:pPr>
        <w:numPr>
          <w:ilvl w:val="0"/>
          <w:numId w:val="15"/>
        </w:numPr>
        <w:snapToGrid w:val="0"/>
        <w:spacing w:after="60"/>
        <w:rPr>
          <w:rFonts w:eastAsia="MS Mincho"/>
          <w:bCs/>
          <w:i/>
          <w:color w:val="000000"/>
          <w:lang w:eastAsia="ja-JP"/>
        </w:rPr>
      </w:pPr>
      <w:r>
        <w:rPr>
          <w:rFonts w:eastAsia="MS Mincho"/>
          <w:bCs/>
          <w:i/>
          <w:color w:val="000000"/>
          <w:lang w:eastAsia="ja-JP"/>
        </w:rPr>
        <w:t xml:space="preserve">Case </w:t>
      </w:r>
      <w:r>
        <w:rPr>
          <w:rFonts w:hint="eastAsia"/>
          <w:bCs/>
          <w:i/>
          <w:color w:val="000000"/>
          <w:lang w:val="en-US" w:eastAsia="zh-CN"/>
        </w:rPr>
        <w:t>7</w:t>
      </w:r>
      <w:r>
        <w:rPr>
          <w:rFonts w:eastAsia="MS Mincho"/>
          <w:bCs/>
          <w:i/>
          <w:color w:val="000000"/>
          <w:lang w:eastAsia="ja-JP"/>
        </w:rPr>
        <w:t xml:space="preserve">: A DCI format 0_3/1_3 scheduling PUSCHs/PDSCHs on FR1 licensed </w:t>
      </w:r>
      <w:r>
        <w:rPr>
          <w:rFonts w:hint="eastAsia"/>
          <w:bCs/>
          <w:i/>
          <w:color w:val="000000"/>
          <w:lang w:val="en-US" w:eastAsia="zh-CN"/>
        </w:rPr>
        <w:t>F</w:t>
      </w:r>
      <w:r>
        <w:rPr>
          <w:rFonts w:eastAsia="MS Mincho"/>
          <w:bCs/>
          <w:i/>
          <w:color w:val="000000"/>
          <w:lang w:eastAsia="ja-JP"/>
        </w:rPr>
        <w:t>DD cell(s) with SCS1</w:t>
      </w:r>
      <w:r>
        <w:rPr>
          <w:rFonts w:hint="eastAsia"/>
          <w:bCs/>
          <w:i/>
          <w:color w:val="000000"/>
          <w:lang w:val="en-US" w:eastAsia="zh-CN"/>
        </w:rPr>
        <w:t>,</w:t>
      </w:r>
      <w:r>
        <w:rPr>
          <w:rFonts w:eastAsia="MS Mincho"/>
          <w:bCs/>
          <w:i/>
          <w:color w:val="000000"/>
          <w:lang w:eastAsia="ja-JP"/>
        </w:rPr>
        <w:t xml:space="preserve"> </w:t>
      </w:r>
      <w:r>
        <w:rPr>
          <w:rFonts w:hint="eastAsia"/>
          <w:bCs/>
          <w:i/>
          <w:color w:val="000000"/>
          <w:lang w:val="en-US" w:eastAsia="zh-CN"/>
        </w:rPr>
        <w:t>T</w:t>
      </w:r>
      <w:r>
        <w:rPr>
          <w:rFonts w:eastAsia="MS Mincho"/>
          <w:bCs/>
          <w:i/>
          <w:color w:val="000000"/>
          <w:lang w:eastAsia="ja-JP"/>
        </w:rPr>
        <w:t>DD cell(s) with SCS</w:t>
      </w:r>
      <w:r>
        <w:rPr>
          <w:rFonts w:hint="eastAsia"/>
          <w:bCs/>
          <w:i/>
          <w:color w:val="000000"/>
          <w:lang w:val="en-US" w:eastAsia="zh-CN"/>
        </w:rPr>
        <w:t xml:space="preserve">2 </w:t>
      </w:r>
      <w:r>
        <w:rPr>
          <w:rFonts w:hint="eastAsia" w:eastAsia="MS Mincho"/>
          <w:bCs/>
          <w:i/>
          <w:color w:val="000000"/>
          <w:lang w:eastAsia="ja-JP"/>
        </w:rPr>
        <w:t>and FR2</w:t>
      </w:r>
      <w:r>
        <w:rPr>
          <w:rFonts w:eastAsia="MS Mincho"/>
          <w:bCs/>
          <w:i/>
          <w:color w:val="000000"/>
          <w:lang w:eastAsia="ja-JP"/>
        </w:rPr>
        <w:t>-1</w:t>
      </w:r>
      <w:r>
        <w:rPr>
          <w:rFonts w:hint="eastAsia" w:eastAsia="MS Mincho"/>
          <w:bCs/>
          <w:i/>
          <w:color w:val="000000"/>
          <w:lang w:eastAsia="ja-JP"/>
        </w:rPr>
        <w:t xml:space="preserve"> cell(s) </w:t>
      </w:r>
      <w:r>
        <w:rPr>
          <w:rFonts w:eastAsia="MS Mincho"/>
          <w:bCs/>
          <w:i/>
          <w:color w:val="000000"/>
          <w:lang w:eastAsia="ja-JP"/>
        </w:rPr>
        <w:t>with SC</w:t>
      </w:r>
      <w:r>
        <w:rPr>
          <w:rFonts w:hint="eastAsia" w:eastAsia="MS Mincho"/>
          <w:bCs/>
          <w:i/>
          <w:color w:val="000000"/>
          <w:lang w:eastAsia="ja-JP"/>
        </w:rPr>
        <w:t>S</w:t>
      </w:r>
      <w:r>
        <w:rPr>
          <w:rFonts w:hint="eastAsia"/>
          <w:bCs/>
          <w:i/>
          <w:color w:val="000000"/>
          <w:lang w:val="en-US" w:eastAsia="zh-CN"/>
        </w:rPr>
        <w:t>3</w:t>
      </w:r>
      <w:r>
        <w:rPr>
          <w:rFonts w:hint="eastAsia" w:eastAsia="MS Mincho"/>
          <w:bCs/>
          <w:i/>
          <w:color w:val="000000"/>
          <w:lang w:eastAsia="ja-JP"/>
        </w:rPr>
        <w:t>.</w:t>
      </w:r>
      <w:r>
        <w:rPr>
          <w:rFonts w:eastAsia="MS Mincho"/>
          <w:bCs/>
          <w:i/>
          <w:color w:val="000000"/>
          <w:lang w:eastAsia="ja-JP"/>
        </w:rPr>
        <w:t xml:space="preserve"> </w:t>
      </w:r>
    </w:p>
    <w:p>
      <w:pPr>
        <w:numPr>
          <w:ilvl w:val="1"/>
          <w:numId w:val="15"/>
        </w:numPr>
        <w:snapToGrid w:val="0"/>
        <w:spacing w:after="60"/>
        <w:rPr>
          <w:rFonts w:eastAsia="MS Mincho"/>
          <w:bCs/>
          <w:i/>
          <w:color w:val="000000"/>
          <w:lang w:eastAsia="ja-JP"/>
        </w:rPr>
      </w:pPr>
      <w:r>
        <w:rPr>
          <w:rFonts w:eastAsia="MS Mincho"/>
          <w:bCs/>
          <w:i/>
          <w:color w:val="000000"/>
          <w:lang w:eastAsia="ja-JP"/>
        </w:rPr>
        <w:t>SCS1</w:t>
      </w:r>
      <w:r>
        <w:rPr>
          <w:rFonts w:hint="eastAsia"/>
          <w:bCs/>
          <w:i/>
          <w:color w:val="000000"/>
          <w:lang w:val="en-US" w:eastAsia="zh-CN"/>
        </w:rPr>
        <w:t>, SCS2 and SCS3</w:t>
      </w:r>
      <w:r>
        <w:rPr>
          <w:rFonts w:eastAsia="MS Mincho"/>
          <w:bCs/>
          <w:i/>
          <w:color w:val="000000"/>
          <w:lang w:eastAsia="ja-JP"/>
        </w:rPr>
        <w:t xml:space="preserve"> can be same or different.</w:t>
      </w:r>
    </w:p>
    <w:p>
      <w:pPr>
        <w:spacing w:before="120" w:beforeLines="50"/>
        <w:rPr>
          <w:i/>
          <w:iCs/>
          <w:lang w:val="en-US" w:eastAsia="zh-CN"/>
        </w:rPr>
      </w:pPr>
      <w:r>
        <w:rPr>
          <w:rFonts w:hint="eastAsia"/>
          <w:b/>
          <w:i/>
        </w:rPr>
        <w:t>P</w:t>
      </w:r>
      <w:r>
        <w:rPr>
          <w:b/>
          <w:i/>
        </w:rPr>
        <w:t xml:space="preserve">roposal </w:t>
      </w:r>
      <w:r>
        <w:rPr>
          <w:b/>
          <w:i/>
          <w:lang w:val="en-US" w:eastAsia="zh-CN"/>
        </w:rPr>
        <w:t>2</w:t>
      </w:r>
      <w:r>
        <w:rPr>
          <w:b/>
          <w:i/>
        </w:rPr>
        <w:t>:</w:t>
      </w:r>
      <w:r>
        <w:rPr>
          <w:i/>
        </w:rPr>
        <w:t xml:space="preserve"> </w:t>
      </w:r>
      <w:r>
        <w:rPr>
          <w:i/>
          <w:lang w:val="en-US" w:eastAsia="zh-CN"/>
        </w:rPr>
        <w:t>F</w:t>
      </w:r>
      <w:r>
        <w:rPr>
          <w:rFonts w:hint="eastAsia"/>
          <w:i/>
          <w:iCs/>
          <w:lang w:val="en-US" w:eastAsia="zh-CN"/>
        </w:rPr>
        <w:t>or determining the timing of a PUCCH carrying HARQ-ACK information corresponding to a set of co-scheduled PDSCHs by a DCI format</w:t>
      </w:r>
      <w:r>
        <w:rPr>
          <w:i/>
          <w:iCs/>
          <w:lang w:val="en-US" w:eastAsia="zh-CN"/>
        </w:rPr>
        <w:t>, there should be no spec impact</w:t>
      </w:r>
      <w:r>
        <w:rPr>
          <w:rFonts w:hint="eastAsia"/>
          <w:i/>
          <w:iCs/>
          <w:lang w:val="en-US" w:eastAsia="zh-CN"/>
        </w:rPr>
        <w:t>.</w:t>
      </w:r>
    </w:p>
    <w:p>
      <w:pPr>
        <w:spacing w:before="120" w:beforeLines="50"/>
        <w:rPr>
          <w:rFonts w:cs="Times"/>
          <w:i/>
          <w:iCs/>
          <w:lang w:val="en-US" w:eastAsia="zh-CN"/>
        </w:rPr>
      </w:pPr>
      <w:r>
        <w:rPr>
          <w:rFonts w:hint="eastAsia"/>
          <w:b/>
          <w:i/>
        </w:rPr>
        <w:t>P</w:t>
      </w:r>
      <w:r>
        <w:rPr>
          <w:b/>
          <w:i/>
        </w:rPr>
        <w:t xml:space="preserve">roposal </w:t>
      </w:r>
      <w:r>
        <w:rPr>
          <w:b/>
          <w:i/>
          <w:lang w:val="en-US" w:eastAsia="zh-CN"/>
        </w:rPr>
        <w:t>3</w:t>
      </w:r>
      <w:r>
        <w:rPr>
          <w:b/>
          <w:i/>
        </w:rPr>
        <w:t>:</w:t>
      </w:r>
      <w:r>
        <w:rPr>
          <w:i/>
        </w:rPr>
        <w:t xml:space="preserve"> </w:t>
      </w:r>
      <w:r>
        <w:rPr>
          <w:i/>
          <w:iCs/>
        </w:rPr>
        <w:t>Type-1 HARQ-ACK codebook is supported for multi-cell scheduling with K1 extension</w:t>
      </w:r>
      <w:r>
        <w:rPr>
          <w:rFonts w:cs="Times"/>
          <w:i/>
          <w:iCs/>
        </w:rPr>
        <w:t xml:space="preserve"> for </w:t>
      </w:r>
      <w:r>
        <w:rPr>
          <w:rFonts w:hint="eastAsia" w:cs="Times"/>
          <w:i/>
          <w:iCs/>
          <w:lang w:val="en-US" w:eastAsia="zh-CN"/>
        </w:rPr>
        <w:t xml:space="preserve">Rel-19 </w:t>
      </w:r>
      <w:r>
        <w:rPr>
          <w:rFonts w:cs="Times"/>
          <w:i/>
          <w:iCs/>
        </w:rPr>
        <w:t>multi-cell scheduling</w:t>
      </w:r>
      <w:r>
        <w:rPr>
          <w:rFonts w:hint="eastAsia" w:cs="Times"/>
          <w:i/>
          <w:iCs/>
          <w:lang w:val="en-US" w:eastAsia="zh-CN"/>
        </w:rPr>
        <w:t>.</w:t>
      </w:r>
    </w:p>
    <w:p>
      <w:pPr>
        <w:pStyle w:val="33"/>
        <w:numPr>
          <w:ilvl w:val="0"/>
          <w:numId w:val="17"/>
        </w:numPr>
        <w:kinsoku w:val="0"/>
        <w:overflowPunct w:val="0"/>
        <w:adjustRightInd w:val="0"/>
        <w:textAlignment w:val="baseline"/>
        <w:rPr>
          <w:i/>
          <w:iCs/>
          <w:lang w:val="en-US" w:eastAsia="zh-CN"/>
        </w:rPr>
      </w:pPr>
      <w:r>
        <w:rPr>
          <w:i/>
          <w:iCs/>
          <w:lang w:val="en-US" w:eastAsia="ja-JP"/>
        </w:rPr>
        <w:t>UE expects HARQ-ACK information for all co-scheduled PDSCHs by DCI format 1_3 can be mapped in the Type-1 HARQ-ACK codebook</w:t>
      </w:r>
      <w:r>
        <w:rPr>
          <w:i/>
          <w:iCs/>
          <w:lang w:val="en-US" w:eastAsia="zh-CN"/>
        </w:rPr>
        <w:t xml:space="preserve">. </w:t>
      </w:r>
    </w:p>
    <w:p>
      <w:pPr>
        <w:rPr>
          <w:rFonts w:ascii="Times" w:hAnsi="Times" w:eastAsia="Batang"/>
          <w:i/>
        </w:rPr>
      </w:pPr>
      <w:r>
        <w:rPr>
          <w:rFonts w:hint="eastAsia"/>
          <w:b/>
          <w:i/>
        </w:rPr>
        <w:t>P</w:t>
      </w:r>
      <w:r>
        <w:rPr>
          <w:b/>
          <w:i/>
        </w:rPr>
        <w:t xml:space="preserve">roposal </w:t>
      </w:r>
      <w:r>
        <w:rPr>
          <w:b/>
          <w:i/>
          <w:lang w:val="en-US" w:eastAsia="zh-CN"/>
        </w:rPr>
        <w:t>4</w:t>
      </w:r>
      <w:r>
        <w:rPr>
          <w:b/>
          <w:i/>
        </w:rPr>
        <w:t>:</w:t>
      </w:r>
      <w:r>
        <w:rPr>
          <w:i/>
        </w:rPr>
        <w:t xml:space="preserve"> </w:t>
      </w:r>
      <w:r>
        <w:rPr>
          <w:rFonts w:hint="eastAsia"/>
          <w:i/>
          <w:lang w:val="en-US" w:eastAsia="zh-CN"/>
        </w:rPr>
        <w:t xml:space="preserve">Confirm the working assumption with </w:t>
      </w:r>
      <w:r>
        <w:rPr>
          <w:i/>
          <w:lang w:val="en-US" w:eastAsia="zh-CN"/>
        </w:rPr>
        <w:t xml:space="preserve">the </w:t>
      </w:r>
      <w:r>
        <w:rPr>
          <w:rFonts w:hint="eastAsia"/>
          <w:i/>
          <w:lang w:val="en-US" w:eastAsia="zh-CN"/>
        </w:rPr>
        <w:t>following updates</w:t>
      </w:r>
      <w:r>
        <w:rPr>
          <w:rFonts w:ascii="Times" w:hAnsi="Times" w:eastAsia="Batang"/>
          <w:i/>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napToGrid w:val="0"/>
              <w:rPr>
                <w:rFonts w:eastAsia="等线"/>
                <w:lang w:eastAsia="zh-CN"/>
              </w:rPr>
            </w:pPr>
            <w:r>
              <w:rPr>
                <w:rFonts w:hint="eastAsia" w:eastAsia="等线"/>
                <w:highlight w:val="darkYellow"/>
                <w:lang w:eastAsia="zh-CN"/>
              </w:rPr>
              <w:t>Working Assumption</w:t>
            </w:r>
          </w:p>
          <w:p>
            <w:pPr>
              <w:numPr>
                <w:ilvl w:val="0"/>
                <w:numId w:val="14"/>
              </w:numPr>
              <w:snapToGrid w:val="0"/>
              <w:rPr>
                <w:lang w:val="en-US" w:eastAsia="zh-CN"/>
              </w:rPr>
            </w:pPr>
            <w:r>
              <w:t>For a DCI format 1_3 with fields repurposed for SCell dormancy indication and scheduling one or more PDSCHs, if TDRA field indicates multiple SLIVs for the serving cell with smallest serving cell index with invalid FDRA</w:t>
            </w:r>
            <w:r>
              <w:rPr>
                <w:rFonts w:hint="eastAsia"/>
                <w:lang w:val="en-US" w:eastAsia="zh-CN"/>
              </w:rPr>
              <w:t xml:space="preserve"> </w:t>
            </w:r>
            <w:r>
              <w:rPr>
                <w:rFonts w:hint="eastAsia"/>
                <w:color w:val="FF0000"/>
                <w:u w:val="single"/>
                <w:lang w:val="en-US" w:eastAsia="zh-CN"/>
              </w:rPr>
              <w:t xml:space="preserve">and </w:t>
            </w:r>
            <w:r>
              <w:rPr>
                <w:rFonts w:eastAsia="MS Mincho"/>
                <w:bCs/>
                <w:color w:val="FF0000"/>
                <w:u w:val="single"/>
                <w:lang w:eastAsia="ja-JP"/>
              </w:rPr>
              <w:t xml:space="preserve">without </w:t>
            </w:r>
            <w:r>
              <w:rPr>
                <w:rFonts w:eastAsia="MS Mincho"/>
                <w:bCs/>
                <w:i/>
                <w:iCs/>
                <w:color w:val="FF0000"/>
                <w:u w:val="single"/>
                <w:lang w:eastAsia="ja-JP"/>
              </w:rPr>
              <w:t xml:space="preserve">nrofHARQ-BundlingGroups </w:t>
            </w:r>
            <w:r>
              <w:rPr>
                <w:rFonts w:eastAsia="MS Mincho"/>
                <w:bCs/>
                <w:iCs/>
                <w:color w:val="FF0000"/>
                <w:u w:val="single"/>
                <w:lang w:eastAsia="ja-JP"/>
              </w:rPr>
              <w:t>configured</w:t>
            </w:r>
            <w:r>
              <w:t>, the HARQ-ACK information bit for SCell dormancy indication is ACK</w:t>
            </w:r>
            <w:r>
              <w:rPr>
                <w:rFonts w:hint="eastAsia" w:eastAsia="等线"/>
              </w:rPr>
              <w:t xml:space="preserve"> for the first SLIV </w:t>
            </w:r>
            <w:r>
              <w:t xml:space="preserve">and followed by NACK bits for the remaining SLIVs. </w:t>
            </w:r>
          </w:p>
          <w:p>
            <w:pPr>
              <w:numPr>
                <w:ilvl w:val="0"/>
                <w:numId w:val="14"/>
              </w:numPr>
              <w:snapToGrid w:val="0"/>
              <w:rPr>
                <w:lang w:val="en-US" w:eastAsia="zh-CN"/>
              </w:rPr>
            </w:pPr>
            <w:r>
              <w:rPr>
                <w:color w:val="FF0000"/>
                <w:u w:val="single"/>
              </w:rPr>
              <w:t>For a DCI format 1_3 with fields repurposed for SCell dormancy indication and scheduling one or more PDSCHs, if TDRA field indicates multiple SLIVs for the serving cell with smallest serving cell index with invalid FDRA</w:t>
            </w:r>
            <w:r>
              <w:rPr>
                <w:rFonts w:hint="eastAsia"/>
                <w:color w:val="FF0000"/>
                <w:u w:val="single"/>
                <w:lang w:val="en-US" w:eastAsia="zh-CN"/>
              </w:rPr>
              <w:t xml:space="preserve"> and </w:t>
            </w:r>
            <w:r>
              <w:rPr>
                <w:rFonts w:eastAsia="MS Mincho"/>
                <w:bCs/>
                <w:color w:val="FF0000"/>
                <w:u w:val="single"/>
                <w:lang w:eastAsia="ja-JP"/>
              </w:rPr>
              <w:t xml:space="preserve">with </w:t>
            </w:r>
            <w:r>
              <w:rPr>
                <w:rFonts w:eastAsia="MS Mincho"/>
                <w:bCs/>
                <w:i/>
                <w:iCs/>
                <w:color w:val="FF0000"/>
                <w:u w:val="single"/>
                <w:lang w:eastAsia="ja-JP"/>
              </w:rPr>
              <w:t>nrofHARQ-BundlingGroups</w:t>
            </w:r>
            <w:r>
              <w:rPr>
                <w:rFonts w:eastAsia="MS Mincho"/>
                <w:bCs/>
                <w:color w:val="FF0000"/>
                <w:u w:val="single"/>
                <w:lang w:eastAsia="ja-JP"/>
              </w:rPr>
              <w:t xml:space="preserve"> configured</w:t>
            </w:r>
            <w:r>
              <w:rPr>
                <w:color w:val="FF0000"/>
                <w:u w:val="single"/>
              </w:rPr>
              <w:t>, the HARQ-ACK information bit for SCell dormancy indication is ACK</w:t>
            </w:r>
            <w:r>
              <w:rPr>
                <w:rFonts w:hint="eastAsia" w:eastAsia="等线"/>
                <w:color w:val="FF0000"/>
                <w:u w:val="single"/>
              </w:rPr>
              <w:t xml:space="preserve"> for the first </w:t>
            </w:r>
            <w:r>
              <w:rPr>
                <w:rFonts w:hint="eastAsia" w:eastAsia="等线"/>
                <w:color w:val="FF0000"/>
                <w:u w:val="single"/>
                <w:lang w:val="en-US" w:eastAsia="zh-CN"/>
              </w:rPr>
              <w:t>TBG</w:t>
            </w:r>
            <w:r>
              <w:rPr>
                <w:rFonts w:eastAsia="等线"/>
                <w:color w:val="FF0000"/>
                <w:u w:val="single"/>
                <w:lang w:val="en-US" w:eastAsia="zh-CN"/>
              </w:rPr>
              <w:t>,</w:t>
            </w:r>
            <w:r>
              <w:rPr>
                <w:rFonts w:hint="eastAsia" w:eastAsia="等线"/>
                <w:color w:val="FF0000"/>
                <w:u w:val="single"/>
              </w:rPr>
              <w:t xml:space="preserve"> </w:t>
            </w:r>
            <w:r>
              <w:rPr>
                <w:color w:val="FF0000"/>
                <w:u w:val="single"/>
              </w:rPr>
              <w:t xml:space="preserve">and followed by NACK bits for the remaining </w:t>
            </w:r>
            <w:r>
              <w:rPr>
                <w:rFonts w:hint="eastAsia"/>
                <w:color w:val="FF0000"/>
                <w:u w:val="single"/>
                <w:lang w:val="en-US" w:eastAsia="zh-CN"/>
              </w:rPr>
              <w:t>TBG</w:t>
            </w:r>
            <w:r>
              <w:rPr>
                <w:color w:val="FF0000"/>
                <w:u w:val="single"/>
              </w:rPr>
              <w:t>s, if any.</w:t>
            </w:r>
          </w:p>
        </w:tc>
      </w:tr>
    </w:tbl>
    <w:p>
      <w:pPr>
        <w:pStyle w:val="33"/>
        <w:kinsoku w:val="0"/>
        <w:overflowPunct w:val="0"/>
        <w:adjustRightInd w:val="0"/>
        <w:ind w:left="0"/>
        <w:textAlignment w:val="baseline"/>
        <w:rPr>
          <w:rFonts w:cs="Times"/>
          <w:i/>
          <w:lang w:val="en-US" w:eastAsia="zh-CN"/>
        </w:rPr>
      </w:pPr>
    </w:p>
    <w:p>
      <w:pPr>
        <w:spacing w:before="120" w:beforeLines="50"/>
        <w:rPr>
          <w:i/>
          <w:lang w:val="en-US" w:eastAsia="zh-CN"/>
        </w:rPr>
      </w:pPr>
      <w:r>
        <w:rPr>
          <w:rFonts w:hint="eastAsia"/>
          <w:b/>
          <w:i/>
        </w:rPr>
        <w:t>P</w:t>
      </w:r>
      <w:r>
        <w:rPr>
          <w:b/>
          <w:i/>
        </w:rPr>
        <w:t xml:space="preserve">roposal </w:t>
      </w:r>
      <w:r>
        <w:rPr>
          <w:b/>
          <w:i/>
          <w:lang w:val="en-US" w:eastAsia="zh-CN"/>
        </w:rPr>
        <w:t>5</w:t>
      </w:r>
      <w:r>
        <w:rPr>
          <w:b/>
          <w:i/>
        </w:rPr>
        <w:t>:</w:t>
      </w:r>
      <w:r>
        <w:rPr>
          <w:i/>
        </w:rPr>
        <w:t xml:space="preserve"> </w:t>
      </w:r>
      <w:r>
        <w:rPr>
          <w:rFonts w:hint="eastAsia"/>
          <w:i/>
          <w:lang w:val="en-US" w:eastAsia="zh-CN"/>
        </w:rPr>
        <w:t>T</w:t>
      </w:r>
      <w:r>
        <w:rPr>
          <w:rFonts w:eastAsia="Yu Mincho"/>
          <w:i/>
          <w:lang w:val="en-US"/>
        </w:rPr>
        <w:t xml:space="preserve">he maximum number of </w:t>
      </w:r>
      <w:r>
        <w:rPr>
          <w:rFonts w:hint="eastAsia"/>
          <w:i/>
          <w:lang w:val="en-US" w:eastAsia="zh-CN"/>
        </w:rPr>
        <w:t>PUSCHs/</w:t>
      </w:r>
      <w:r>
        <w:rPr>
          <w:rFonts w:eastAsia="Yu Mincho"/>
          <w:i/>
          <w:lang w:val="en-US"/>
        </w:rPr>
        <w:t xml:space="preserve">PDSCHs per </w:t>
      </w:r>
      <w:r>
        <w:rPr>
          <w:rFonts w:hint="eastAsia"/>
          <w:i/>
          <w:lang w:val="en-US" w:eastAsia="zh-CN"/>
        </w:rPr>
        <w:t>DCI</w:t>
      </w:r>
      <w:r>
        <w:rPr>
          <w:rFonts w:eastAsia="Yu Mincho"/>
          <w:i/>
          <w:lang w:val="en-US"/>
        </w:rPr>
        <w:t xml:space="preserve"> </w:t>
      </w:r>
      <w:r>
        <w:rPr>
          <w:rFonts w:hint="eastAsia"/>
          <w:i/>
          <w:lang w:val="en-US" w:eastAsia="zh-CN"/>
        </w:rPr>
        <w:t>can be configured or reported if needed.</w:t>
      </w:r>
    </w:p>
    <w:p>
      <w:pPr>
        <w:numPr>
          <w:ilvl w:val="255"/>
          <w:numId w:val="0"/>
        </w:numPr>
        <w:rPr>
          <w:i/>
          <w:iCs/>
          <w:lang w:val="fi-FI"/>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hint="eastAsia"/>
          <w:i/>
          <w:iCs/>
          <w:lang w:val="fi-FI"/>
        </w:rPr>
        <w:t xml:space="preserve">Endorse the following RRC parameters </w:t>
      </w:r>
      <w:r>
        <w:rPr>
          <w:i/>
          <w:iCs/>
          <w:lang w:val="fi-FI"/>
        </w:rPr>
        <w:t xml:space="preserve">for </w:t>
      </w:r>
      <w:r>
        <w:rPr>
          <w:i/>
          <w:iCs/>
          <w:lang w:val="fi-FI" w:eastAsia="zh-CN"/>
        </w:rPr>
        <w:t>Multi-carrier enhancements for NR Phase 3</w:t>
      </w:r>
      <w:r>
        <w:rPr>
          <w:i/>
          <w:iCs/>
          <w:lang w:val="fi-FI"/>
        </w:rPr>
        <w:t>:</w:t>
      </w:r>
    </w:p>
    <w:tbl>
      <w:tblPr>
        <w:tblStyle w:val="22"/>
        <w:tblW w:w="4860" w:type="pct"/>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1202"/>
        <w:gridCol w:w="638"/>
        <w:gridCol w:w="3843"/>
        <w:gridCol w:w="1105"/>
        <w:gridCol w:w="835"/>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82" w:type="pct"/>
            <w:shd w:val="clear" w:color="000000" w:fill="00B0F0"/>
            <w:noWrap/>
          </w:tcPr>
          <w:p>
            <w:pPr>
              <w:numPr>
                <w:ilvl w:val="255"/>
                <w:numId w:val="0"/>
              </w:numPr>
              <w:spacing w:before="60" w:after="60"/>
              <w:rPr>
                <w:rFonts w:eastAsia="等线" w:cs="Arial"/>
                <w:sz w:val="18"/>
                <w:szCs w:val="18"/>
              </w:rPr>
            </w:pPr>
            <w:r>
              <w:t>RAN2 Parent IE</w:t>
            </w:r>
          </w:p>
        </w:tc>
        <w:tc>
          <w:tcPr>
            <w:tcW w:w="626" w:type="pct"/>
            <w:shd w:val="clear" w:color="000000" w:fill="00B0F0"/>
          </w:tcPr>
          <w:p>
            <w:pPr>
              <w:numPr>
                <w:ilvl w:val="255"/>
                <w:numId w:val="0"/>
              </w:numPr>
              <w:spacing w:before="60" w:after="60"/>
              <w:rPr>
                <w:rFonts w:eastAsia="等线" w:cs="Arial"/>
                <w:sz w:val="18"/>
                <w:szCs w:val="18"/>
              </w:rPr>
            </w:pPr>
            <w:r>
              <w:t>Parameter name in the spec</w:t>
            </w:r>
          </w:p>
        </w:tc>
        <w:tc>
          <w:tcPr>
            <w:tcW w:w="333" w:type="pct"/>
            <w:shd w:val="clear" w:color="000000" w:fill="00B0F0"/>
            <w:noWrap/>
          </w:tcPr>
          <w:p>
            <w:pPr>
              <w:numPr>
                <w:ilvl w:val="255"/>
                <w:numId w:val="0"/>
              </w:numPr>
              <w:spacing w:before="60" w:after="60"/>
            </w:pPr>
            <w:r>
              <w:t>New or existing?</w:t>
            </w:r>
          </w:p>
          <w:p>
            <w:pPr>
              <w:spacing w:before="60" w:after="60"/>
              <w:rPr>
                <w:rFonts w:eastAsia="等线" w:cs="Arial"/>
                <w:sz w:val="18"/>
                <w:szCs w:val="18"/>
              </w:rPr>
            </w:pPr>
          </w:p>
        </w:tc>
        <w:tc>
          <w:tcPr>
            <w:tcW w:w="2004" w:type="pct"/>
            <w:shd w:val="clear" w:color="000000" w:fill="00B0F0"/>
          </w:tcPr>
          <w:p>
            <w:pPr>
              <w:numPr>
                <w:ilvl w:val="255"/>
                <w:numId w:val="0"/>
              </w:numPr>
              <w:spacing w:before="60" w:after="60"/>
            </w:pPr>
            <w:r>
              <w:t>Default value aspect</w:t>
            </w:r>
          </w:p>
          <w:p>
            <w:pPr>
              <w:numPr>
                <w:ilvl w:val="255"/>
                <w:numId w:val="0"/>
              </w:numPr>
              <w:spacing w:before="60" w:after="60"/>
            </w:pPr>
            <w:r>
              <w:t>Description</w:t>
            </w:r>
          </w:p>
          <w:p>
            <w:pPr>
              <w:spacing w:before="60" w:after="60"/>
              <w:rPr>
                <w:rFonts w:eastAsia="等线" w:cs="Arial"/>
                <w:sz w:val="18"/>
                <w:szCs w:val="18"/>
              </w:rPr>
            </w:pPr>
          </w:p>
        </w:tc>
        <w:tc>
          <w:tcPr>
            <w:tcW w:w="576" w:type="pct"/>
            <w:shd w:val="clear" w:color="000000" w:fill="00B0F0"/>
          </w:tcPr>
          <w:p>
            <w:pPr>
              <w:numPr>
                <w:ilvl w:val="255"/>
                <w:numId w:val="0"/>
              </w:numPr>
              <w:spacing w:before="60" w:after="60"/>
              <w:rPr>
                <w:rFonts w:eastAsia="等线" w:cs="Arial"/>
                <w:sz w:val="18"/>
                <w:szCs w:val="18"/>
              </w:rPr>
            </w:pPr>
            <w:r>
              <w:t>Value range</w:t>
            </w:r>
          </w:p>
        </w:tc>
        <w:tc>
          <w:tcPr>
            <w:tcW w:w="436" w:type="pct"/>
            <w:shd w:val="clear" w:color="000000" w:fill="00B0F0"/>
          </w:tcPr>
          <w:p>
            <w:pPr>
              <w:numPr>
                <w:ilvl w:val="255"/>
                <w:numId w:val="0"/>
              </w:numPr>
              <w:spacing w:before="60" w:after="60"/>
            </w:pPr>
            <w:r>
              <w:t>Per (UE, cell, TRP, …)</w:t>
            </w:r>
          </w:p>
        </w:tc>
        <w:tc>
          <w:tcPr>
            <w:tcW w:w="438" w:type="pct"/>
            <w:shd w:val="clear" w:color="000000" w:fill="00B0F0"/>
          </w:tcPr>
          <w:p>
            <w:pPr>
              <w:numPr>
                <w:ilvl w:val="255"/>
                <w:numId w:val="0"/>
              </w:numPr>
              <w:spacing w:before="60" w:after="60"/>
            </w:pPr>
            <w:r>
              <w:t>UE-specific or Cell-specific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2"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ServingCellConfig</w:t>
            </w:r>
          </w:p>
        </w:tc>
        <w:tc>
          <w:tcPr>
            <w:tcW w:w="62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TDRA-FieldIndexDCI-1-3</w:t>
            </w:r>
          </w:p>
        </w:tc>
        <w:tc>
          <w:tcPr>
            <w:tcW w:w="333" w:type="pct"/>
            <w:shd w:val="clear" w:color="auto" w:fill="auto"/>
            <w:noWrap/>
            <w:vAlign w:val="center"/>
          </w:tcPr>
          <w:p>
            <w:pPr>
              <w:numPr>
                <w:ilvl w:val="255"/>
                <w:numId w:val="0"/>
              </w:numPr>
              <w:spacing w:before="60" w:after="60"/>
              <w:rPr>
                <w:rFonts w:eastAsia="等线" w:cs="Arial"/>
                <w:strike/>
                <w:sz w:val="18"/>
                <w:szCs w:val="18"/>
              </w:rPr>
            </w:pPr>
            <w:r>
              <w:rPr>
                <w:rFonts w:hint="eastAsia" w:eastAsia="等线" w:cs="Arial"/>
                <w:sz w:val="18"/>
                <w:szCs w:val="18"/>
                <w:lang w:val="en-US" w:eastAsia="zh-CN"/>
              </w:rPr>
              <w:t>Existing</w:t>
            </w:r>
          </w:p>
        </w:tc>
        <w:tc>
          <w:tcPr>
            <w:tcW w:w="2004" w:type="pct"/>
            <w:shd w:val="clear" w:color="auto" w:fill="auto"/>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1-1</w:t>
            </w:r>
            <w:r>
              <w:rPr>
                <w:rFonts w:hint="eastAsia" w:eastAsia="等线" w:cs="Arial"/>
                <w:color w:val="FF0000"/>
                <w:sz w:val="18"/>
                <w:szCs w:val="18"/>
                <w:u w:val="single"/>
                <w:lang w:val="en-US" w:eastAsia="zh-CN"/>
              </w:rPr>
              <w:t xml:space="preserve"> </w:t>
            </w:r>
            <w:r>
              <w:rPr>
                <w:rFonts w:eastAsia="等线" w:cs="Arial"/>
                <w:color w:val="FF0000"/>
                <w:sz w:val="18"/>
                <w:szCs w:val="18"/>
                <w:u w:val="single"/>
                <w:lang w:val="en-US" w:eastAsia="zh-CN"/>
              </w:rPr>
              <w:t>if</w:t>
            </w:r>
            <w:r>
              <w:t xml:space="preserve"> </w:t>
            </w:r>
            <w:r>
              <w:rPr>
                <w:rFonts w:eastAsia="等线" w:cs="Arial"/>
                <w:color w:val="FF0000"/>
                <w:sz w:val="18"/>
                <w:szCs w:val="18"/>
                <w:u w:val="single"/>
                <w:lang w:val="en-US" w:eastAsia="zh-CN"/>
              </w:rPr>
              <w:t>pdsch-TimeDomainAllocationListForMultiPDSCH-1-3 is not configured</w:t>
            </w:r>
            <w:r>
              <w:rPr>
                <w:rFonts w:hint="eastAsia" w:eastAsia="等线" w:cs="Arial"/>
                <w:color w:val="FF0000"/>
                <w:sz w:val="18"/>
                <w:szCs w:val="18"/>
                <w:u w:val="single"/>
                <w:lang w:val="en-US" w:eastAsia="zh-CN"/>
              </w:rPr>
              <w:t xml:space="preserve">, or </w:t>
            </w:r>
            <w:r>
              <w:rPr>
                <w:rFonts w:eastAsia="等线" w:cs="Arial"/>
                <w:color w:val="FF0000"/>
                <w:sz w:val="18"/>
                <w:szCs w:val="18"/>
                <w:u w:val="single"/>
                <w:lang w:val="en-US" w:eastAsia="zh-CN"/>
              </w:rPr>
              <w:t xml:space="preserve">in </w:t>
            </w:r>
            <w:r>
              <w:rPr>
                <w:rFonts w:hint="eastAsia" w:eastAsia="等线" w:cs="Arial"/>
                <w:color w:val="FF0000"/>
                <w:sz w:val="18"/>
                <w:szCs w:val="18"/>
                <w:u w:val="single"/>
                <w:lang w:val="en-US" w:eastAsia="zh-CN"/>
              </w:rPr>
              <w:t xml:space="preserve">the </w:t>
            </w:r>
            <w:r>
              <w:rPr>
                <w:rFonts w:hint="eastAsia" w:eastAsia="等线" w:cs="Arial"/>
                <w:color w:val="FF0000"/>
                <w:sz w:val="18"/>
                <w:szCs w:val="18"/>
                <w:u w:val="single"/>
              </w:rPr>
              <w:t>TDRA table</w:t>
            </w:r>
            <w:r>
              <w:rPr>
                <w:rFonts w:eastAsia="等线" w:cs="Arial"/>
                <w:color w:val="FF0000"/>
                <w:sz w:val="18"/>
                <w:szCs w:val="18"/>
                <w:u w:val="single"/>
                <w:lang w:val="en-US" w:eastAsia="zh-CN"/>
              </w:rPr>
              <w:t xml:space="preserve"> </w:t>
            </w:r>
            <w:r>
              <w:rPr>
                <w:rFonts w:eastAsia="等线" w:cs="Arial"/>
                <w:color w:val="FF0000"/>
                <w:sz w:val="18"/>
                <w:szCs w:val="18"/>
                <w:u w:val="single"/>
              </w:rPr>
              <w:t xml:space="preserve">configured by </w:t>
            </w:r>
            <w:r>
              <w:rPr>
                <w:rFonts w:eastAsia="等线" w:cs="Arial"/>
                <w:color w:val="FF0000"/>
                <w:sz w:val="18"/>
                <w:szCs w:val="18"/>
                <w:u w:val="single"/>
                <w:lang w:val="en-US" w:eastAsia="zh-CN"/>
              </w:rPr>
              <w:t>pdsch-TimeDomainAllocationListForMultiPDSCH-1-3</w:t>
            </w:r>
            <w:r>
              <w:rPr>
                <w:rFonts w:hint="eastAsia" w:eastAsia="等线" w:cs="Arial"/>
                <w:sz w:val="18"/>
                <w:szCs w:val="18"/>
              </w:rPr>
              <w:t>, the order of TDRA index in each row refers the BWP-Id for a cell and the order of cells in scheduledCellListDCI-1-3 (i.e., first TDRA index in a row is for the smallest BWP-Id that can be scheduled by the DCI format 1-3, as specified in TS 38.212 [17], of the first cell in scheduledCellListDCI-1-3, second TDRA index in a row is for the second smallest BWP-Id that can be scheduled by the DCI format 1-3, as specified in TS 38.212 [17], of the first cell and so on ), and the number of TDRA indices in a row of TDRA-FieldIndexDCI-1-3 should be the same as the total number of BWPs that can be scheduled by the DCI format 1-3, as specified in TS 38.212 [17], across cells included in scheduledCellListDCI-1-3.</w:t>
            </w:r>
          </w:p>
        </w:tc>
        <w:tc>
          <w:tcPr>
            <w:tcW w:w="57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 xml:space="preserve">SEQUENCE (SIZE (2..16)) OF INTEGER (0..maxNrofDL-Allocations-1) </w:t>
            </w:r>
          </w:p>
        </w:tc>
        <w:tc>
          <w:tcPr>
            <w:tcW w:w="436" w:type="pct"/>
            <w:vAlign w:val="center"/>
          </w:tcPr>
          <w:p>
            <w:pPr>
              <w:numPr>
                <w:ilvl w:val="255"/>
                <w:numId w:val="0"/>
              </w:numPr>
              <w:spacing w:before="60" w:after="60"/>
              <w:rPr>
                <w:rFonts w:eastAsia="等线" w:cs="Arial"/>
                <w:sz w:val="18"/>
                <w:szCs w:val="18"/>
              </w:rPr>
            </w:pPr>
            <w:r>
              <w:rPr>
                <w:rFonts w:hint="eastAsia" w:eastAsia="等线" w:cs="Arial"/>
                <w:sz w:val="18"/>
                <w:szCs w:val="18"/>
              </w:rPr>
              <w:t>per set of cells</w:t>
            </w:r>
          </w:p>
          <w:p>
            <w:pPr>
              <w:numPr>
                <w:ilvl w:val="255"/>
                <w:numId w:val="0"/>
              </w:numPr>
              <w:spacing w:before="60" w:after="60"/>
              <w:rPr>
                <w:rFonts w:eastAsia="等线" w:cs="Arial"/>
                <w:sz w:val="18"/>
                <w:szCs w:val="18"/>
              </w:rPr>
            </w:pPr>
            <w:r>
              <w:rPr>
                <w:rFonts w:hint="eastAsia" w:eastAsia="等线" w:cs="Arial"/>
                <w:sz w:val="18"/>
                <w:szCs w:val="18"/>
              </w:rPr>
              <w:t>(TDRA-FieldIndexListDCI-1-3)</w:t>
            </w:r>
          </w:p>
        </w:tc>
        <w:tc>
          <w:tcPr>
            <w:tcW w:w="438"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2"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PDSCH-Config</w:t>
            </w:r>
          </w:p>
        </w:tc>
        <w:tc>
          <w:tcPr>
            <w:tcW w:w="626" w:type="pct"/>
            <w:shd w:val="clear" w:color="auto" w:fill="auto"/>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rPr>
              <w:t>pdsch-TimeDomainAllocationListForMultiPDSCH-</w:t>
            </w:r>
            <w:r>
              <w:rPr>
                <w:rFonts w:hint="eastAsia" w:eastAsia="等线" w:cs="Arial"/>
                <w:sz w:val="18"/>
                <w:szCs w:val="18"/>
                <w:lang w:val="en-US" w:eastAsia="zh-CN"/>
              </w:rPr>
              <w:t>1-3</w:t>
            </w:r>
          </w:p>
        </w:tc>
        <w:tc>
          <w:tcPr>
            <w:tcW w:w="333" w:type="pct"/>
            <w:shd w:val="clear" w:color="auto" w:fill="auto"/>
            <w:noWrap/>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N</w:t>
            </w:r>
            <w:r>
              <w:rPr>
                <w:rFonts w:hint="eastAsia" w:eastAsia="等线" w:cs="Arial"/>
                <w:sz w:val="18"/>
                <w:szCs w:val="18"/>
              </w:rPr>
              <w:t>ew</w:t>
            </w:r>
          </w:p>
        </w:tc>
        <w:tc>
          <w:tcPr>
            <w:tcW w:w="2004" w:type="pct"/>
            <w:shd w:val="clear" w:color="auto" w:fill="auto"/>
            <w:vAlign w:val="center"/>
          </w:tcPr>
          <w:p>
            <w:pPr>
              <w:numPr>
                <w:ilvl w:val="255"/>
                <w:numId w:val="0"/>
              </w:numPr>
              <w:spacing w:before="60" w:after="60"/>
              <w:rPr>
                <w:rFonts w:eastAsia="等线" w:cs="Arial"/>
                <w:sz w:val="18"/>
                <w:szCs w:val="18"/>
              </w:rPr>
            </w:pPr>
            <w:r>
              <w:rPr>
                <w:rFonts w:eastAsia="等线" w:cs="Arial"/>
                <w:sz w:val="18"/>
                <w:szCs w:val="18"/>
              </w:rPr>
              <w:t>Time domain resource allocations table is only used for multi-PDSCH scheduling by DCI format 1_3. The TDRA index indicated by the DCI format 1_3 points to one or multiple time domain resource allocations in this TDRA table</w:t>
            </w:r>
          </w:p>
        </w:tc>
        <w:tc>
          <w:tcPr>
            <w:tcW w:w="576" w:type="pct"/>
            <w:shd w:val="clear" w:color="auto" w:fill="auto"/>
            <w:vAlign w:val="center"/>
          </w:tcPr>
          <w:p>
            <w:pPr>
              <w:numPr>
                <w:ilvl w:val="255"/>
                <w:numId w:val="0"/>
              </w:numPr>
              <w:spacing w:before="60" w:after="60"/>
              <w:rPr>
                <w:rFonts w:eastAsia="等线" w:cs="Arial"/>
                <w:sz w:val="18"/>
                <w:szCs w:val="18"/>
              </w:rPr>
            </w:pPr>
            <w:r>
              <w:rPr>
                <w:rFonts w:eastAsia="等线" w:cs="Arial"/>
                <w:sz w:val="18"/>
                <w:szCs w:val="18"/>
              </w:rPr>
              <w:t>MultiPDSCH-TDRA-r17</w:t>
            </w:r>
          </w:p>
        </w:tc>
        <w:tc>
          <w:tcPr>
            <w:tcW w:w="436" w:type="pct"/>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per BWP</w:t>
            </w:r>
          </w:p>
        </w:tc>
        <w:tc>
          <w:tcPr>
            <w:tcW w:w="438"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1117" w:type="dxa"/>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ServingCellConfig</w:t>
            </w:r>
          </w:p>
        </w:tc>
        <w:tc>
          <w:tcPr>
            <w:tcW w:w="1201" w:type="dxa"/>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TDRA-FieldIndexDCI-</w:t>
            </w:r>
            <w:r>
              <w:rPr>
                <w:rFonts w:hint="eastAsia" w:eastAsia="等线" w:cs="Arial"/>
                <w:sz w:val="18"/>
                <w:szCs w:val="18"/>
                <w:lang w:val="en-US" w:eastAsia="zh-CN"/>
              </w:rPr>
              <w:t>0</w:t>
            </w:r>
            <w:r>
              <w:rPr>
                <w:rFonts w:hint="eastAsia" w:eastAsia="等线" w:cs="Arial"/>
                <w:sz w:val="18"/>
                <w:szCs w:val="18"/>
              </w:rPr>
              <w:t>-3</w:t>
            </w:r>
          </w:p>
        </w:tc>
        <w:tc>
          <w:tcPr>
            <w:tcW w:w="639" w:type="dxa"/>
            <w:shd w:val="clear" w:color="auto" w:fill="auto"/>
            <w:noWrap/>
            <w:vAlign w:val="center"/>
          </w:tcPr>
          <w:p>
            <w:pPr>
              <w:numPr>
                <w:ilvl w:val="255"/>
                <w:numId w:val="0"/>
              </w:numPr>
              <w:spacing w:before="60" w:after="60"/>
              <w:rPr>
                <w:rFonts w:eastAsia="等线" w:cs="Arial"/>
                <w:sz w:val="18"/>
                <w:szCs w:val="18"/>
                <w:lang w:val="en-US" w:eastAsia="zh-CN"/>
              </w:rPr>
            </w:pPr>
            <w:r>
              <w:rPr>
                <w:rFonts w:hint="eastAsia" w:eastAsia="等线" w:cs="Arial"/>
                <w:sz w:val="18"/>
                <w:szCs w:val="18"/>
                <w:lang w:val="en-US" w:eastAsia="zh-CN"/>
              </w:rPr>
              <w:t>Existing</w:t>
            </w:r>
          </w:p>
        </w:tc>
        <w:tc>
          <w:tcPr>
            <w:tcW w:w="3840" w:type="dxa"/>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Configure each row of the joint TDRA field table for UL scheduling via DCI format 0_3 containing the applicable TDRA field indexes for multiple BWPs/cells, where the TDRA index for a BWP of a cell points to a corresponding</w:t>
            </w:r>
            <w:bookmarkStart w:id="2" w:name="_GoBack"/>
            <w:bookmarkEnd w:id="2"/>
            <w:r>
              <w:rPr>
                <w:rFonts w:hint="eastAsia" w:eastAsia="等线" w:cs="Arial"/>
                <w:sz w:val="18"/>
                <w:szCs w:val="18"/>
              </w:rPr>
              <w:t xml:space="preserve"> TDRA in the TDRA table applicable for DCI format 0_1</w:t>
            </w:r>
            <w:r>
              <w:rPr>
                <w:rFonts w:hint="eastAsia" w:eastAsia="等线" w:cs="Arial"/>
                <w:color w:val="FF0000"/>
                <w:sz w:val="18"/>
                <w:szCs w:val="18"/>
                <w:u w:val="single"/>
                <w:lang w:val="en-US" w:eastAsia="zh-CN"/>
              </w:rPr>
              <w:t xml:space="preserve"> </w:t>
            </w:r>
            <w:r>
              <w:rPr>
                <w:rFonts w:eastAsia="等线" w:cs="Arial"/>
                <w:color w:val="FF0000"/>
                <w:sz w:val="18"/>
                <w:szCs w:val="18"/>
                <w:u w:val="single"/>
                <w:lang w:val="en-US" w:eastAsia="zh-CN"/>
              </w:rPr>
              <w:t>if pusch-TimeDomainAllocationListForMultiPUSCH-0-3 is not configured</w:t>
            </w:r>
            <w:r>
              <w:rPr>
                <w:rFonts w:hint="eastAsia" w:eastAsia="等线" w:cs="Arial"/>
                <w:color w:val="FF0000"/>
                <w:sz w:val="18"/>
                <w:szCs w:val="18"/>
                <w:u w:val="single"/>
                <w:lang w:val="en-US" w:eastAsia="zh-CN"/>
              </w:rPr>
              <w:t xml:space="preserve">, or </w:t>
            </w:r>
            <w:r>
              <w:rPr>
                <w:rFonts w:eastAsia="等线" w:cs="Arial"/>
                <w:color w:val="FF0000"/>
                <w:sz w:val="18"/>
                <w:szCs w:val="18"/>
                <w:u w:val="single"/>
                <w:lang w:val="en-US" w:eastAsia="zh-CN"/>
              </w:rPr>
              <w:t xml:space="preserve">in </w:t>
            </w:r>
            <w:r>
              <w:rPr>
                <w:rFonts w:hint="eastAsia" w:eastAsia="等线" w:cs="Arial"/>
                <w:color w:val="FF0000"/>
                <w:sz w:val="18"/>
                <w:szCs w:val="18"/>
                <w:u w:val="single"/>
                <w:lang w:val="en-US" w:eastAsia="zh-CN"/>
              </w:rPr>
              <w:t xml:space="preserve">the </w:t>
            </w:r>
            <w:r>
              <w:rPr>
                <w:rFonts w:hint="eastAsia" w:eastAsia="等线" w:cs="Arial"/>
                <w:color w:val="FF0000"/>
                <w:sz w:val="18"/>
                <w:szCs w:val="18"/>
                <w:u w:val="single"/>
              </w:rPr>
              <w:t xml:space="preserve">TDRA table </w:t>
            </w:r>
            <w:r>
              <w:rPr>
                <w:rFonts w:eastAsia="等线" w:cs="Arial"/>
                <w:color w:val="FF0000"/>
                <w:sz w:val="18"/>
                <w:szCs w:val="18"/>
                <w:u w:val="single"/>
                <w:lang w:val="en-US" w:eastAsia="zh-CN"/>
              </w:rPr>
              <w:t>configured by pusch-TimeDomainAllocationListForMultiPUSCH-0-3</w:t>
            </w:r>
            <w:r>
              <w:rPr>
                <w:rFonts w:hint="eastAsia" w:eastAsia="等线" w:cs="Arial"/>
                <w:sz w:val="18"/>
                <w:szCs w:val="18"/>
              </w:rPr>
              <w:t>, the order of TDRA index in each row refers the BWP-Id for a cell and the order of cells in scheduledCellListDCI-0-3 (i.e., first TDRA index in a row is for the smallest BWP-Id that can be scheduled by the DCI format 0_3, as specified in TS 38.212 [17], of the first cell in scheduledCellListDCI-0-3, second TDRA index in a row is for the second smallest BWP-Id 1 that can be scheduled by the DCI format 0_3, as specified in TS 38.212 [17], of the first cell and so on), and the number of TDRA indices in a row of TDRA-FieldIndexDCI-0-3 should be the same as the total number of BWPs that can be scheduled by the DCI format 0_3, as specified in TS 38.212 [17], across cells included in scheduledCellListDCI-0-3.</w:t>
            </w:r>
          </w:p>
        </w:tc>
        <w:tc>
          <w:tcPr>
            <w:tcW w:w="1105" w:type="dxa"/>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 xml:space="preserve">SEQUENCE (SIZE (2..16)) OF INTEGER (0..maxNrofUL-Allocations-r16-1) </w:t>
            </w:r>
          </w:p>
        </w:tc>
        <w:tc>
          <w:tcPr>
            <w:tcW w:w="837" w:type="dxa"/>
            <w:vAlign w:val="center"/>
          </w:tcPr>
          <w:p>
            <w:pPr>
              <w:numPr>
                <w:ilvl w:val="255"/>
                <w:numId w:val="0"/>
              </w:numPr>
              <w:spacing w:before="60" w:after="60"/>
              <w:rPr>
                <w:rFonts w:eastAsia="等线" w:cs="Arial"/>
                <w:sz w:val="18"/>
                <w:szCs w:val="18"/>
              </w:rPr>
            </w:pPr>
            <w:r>
              <w:rPr>
                <w:rFonts w:hint="eastAsia" w:eastAsia="等线" w:cs="Arial"/>
                <w:sz w:val="18"/>
                <w:szCs w:val="18"/>
              </w:rPr>
              <w:t>per set of cells</w:t>
            </w:r>
          </w:p>
          <w:p>
            <w:pPr>
              <w:numPr>
                <w:ilvl w:val="255"/>
                <w:numId w:val="0"/>
              </w:numPr>
              <w:spacing w:before="60" w:after="60"/>
              <w:rPr>
                <w:rFonts w:eastAsia="等线" w:cs="Arial"/>
                <w:sz w:val="18"/>
                <w:szCs w:val="18"/>
                <w:lang w:val="en-US" w:eastAsia="zh-CN"/>
              </w:rPr>
            </w:pPr>
            <w:r>
              <w:rPr>
                <w:rFonts w:hint="eastAsia" w:eastAsia="等线" w:cs="Arial"/>
                <w:sz w:val="18"/>
                <w:szCs w:val="18"/>
              </w:rPr>
              <w:t>(TDRA-FieldIndexListDCI-0-3)</w:t>
            </w:r>
          </w:p>
        </w:tc>
        <w:tc>
          <w:tcPr>
            <w:tcW w:w="841" w:type="dxa"/>
            <w:vAlign w:val="center"/>
          </w:tcPr>
          <w:p>
            <w:pPr>
              <w:numPr>
                <w:ilvl w:val="255"/>
                <w:numId w:val="0"/>
              </w:numPr>
              <w:spacing w:before="60" w:after="60"/>
              <w:rPr>
                <w:rFonts w:eastAsia="等线" w:cs="Arial"/>
                <w:sz w:val="18"/>
                <w:szCs w:val="18"/>
              </w:rPr>
            </w:pPr>
            <w:r>
              <w:rPr>
                <w:rFonts w:hint="eastAsia" w:eastAsia="等线" w:cs="Arial"/>
                <w:sz w:val="18"/>
                <w:szCs w:val="18"/>
              </w:rPr>
              <w:t>UE-specific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582"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P</w:t>
            </w:r>
            <w:r>
              <w:rPr>
                <w:rFonts w:hint="eastAsia" w:eastAsia="等线" w:cs="Arial"/>
                <w:sz w:val="18"/>
                <w:szCs w:val="18"/>
                <w:lang w:val="en-US" w:eastAsia="zh-CN"/>
              </w:rPr>
              <w:t>U</w:t>
            </w:r>
            <w:r>
              <w:rPr>
                <w:rFonts w:hint="eastAsia" w:eastAsia="等线" w:cs="Arial"/>
                <w:sz w:val="18"/>
                <w:szCs w:val="18"/>
              </w:rPr>
              <w:t>SCH-Config</w:t>
            </w:r>
          </w:p>
        </w:tc>
        <w:tc>
          <w:tcPr>
            <w:tcW w:w="626"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p</w:t>
            </w:r>
            <w:r>
              <w:rPr>
                <w:rFonts w:hint="eastAsia" w:eastAsia="等线" w:cs="Arial"/>
                <w:sz w:val="18"/>
                <w:szCs w:val="18"/>
                <w:lang w:val="en-US" w:eastAsia="zh-CN"/>
              </w:rPr>
              <w:t>u</w:t>
            </w:r>
            <w:r>
              <w:rPr>
                <w:rFonts w:hint="eastAsia" w:eastAsia="等线" w:cs="Arial"/>
                <w:sz w:val="18"/>
                <w:szCs w:val="18"/>
              </w:rPr>
              <w:t>sch-TimeDomainAllocationListForMultiP</w:t>
            </w:r>
            <w:r>
              <w:rPr>
                <w:rFonts w:hint="eastAsia" w:eastAsia="等线" w:cs="Arial"/>
                <w:sz w:val="18"/>
                <w:szCs w:val="18"/>
                <w:lang w:val="en-US" w:eastAsia="zh-CN"/>
              </w:rPr>
              <w:t>U</w:t>
            </w:r>
            <w:r>
              <w:rPr>
                <w:rFonts w:hint="eastAsia" w:eastAsia="等线" w:cs="Arial"/>
                <w:sz w:val="18"/>
                <w:szCs w:val="18"/>
              </w:rPr>
              <w:t>SCH-</w:t>
            </w:r>
            <w:r>
              <w:rPr>
                <w:rFonts w:hint="eastAsia" w:eastAsia="等线" w:cs="Arial"/>
                <w:sz w:val="18"/>
                <w:szCs w:val="18"/>
                <w:lang w:val="en-US" w:eastAsia="zh-CN"/>
              </w:rPr>
              <w:t>0-3</w:t>
            </w:r>
          </w:p>
        </w:tc>
        <w:tc>
          <w:tcPr>
            <w:tcW w:w="333" w:type="pct"/>
            <w:shd w:val="clear" w:color="auto" w:fill="auto"/>
            <w:noWrap/>
            <w:vAlign w:val="center"/>
          </w:tcPr>
          <w:p>
            <w:pPr>
              <w:numPr>
                <w:ilvl w:val="255"/>
                <w:numId w:val="0"/>
              </w:numPr>
              <w:spacing w:before="60" w:after="60"/>
              <w:rPr>
                <w:rFonts w:eastAsia="等线" w:cs="Arial"/>
                <w:sz w:val="18"/>
                <w:szCs w:val="18"/>
              </w:rPr>
            </w:pPr>
            <w:r>
              <w:rPr>
                <w:rFonts w:eastAsia="等线" w:cs="Arial"/>
                <w:sz w:val="18"/>
                <w:szCs w:val="18"/>
              </w:rPr>
              <w:t>New</w:t>
            </w:r>
          </w:p>
        </w:tc>
        <w:tc>
          <w:tcPr>
            <w:tcW w:w="2004" w:type="pct"/>
            <w:shd w:val="clear" w:color="auto" w:fill="auto"/>
            <w:vAlign w:val="center"/>
          </w:tcPr>
          <w:p>
            <w:pPr>
              <w:numPr>
                <w:ilvl w:val="255"/>
                <w:numId w:val="0"/>
              </w:numPr>
              <w:spacing w:before="60" w:after="60"/>
              <w:rPr>
                <w:rFonts w:eastAsia="等线" w:cs="Arial"/>
                <w:sz w:val="18"/>
                <w:szCs w:val="18"/>
              </w:rPr>
            </w:pPr>
            <w:r>
              <w:rPr>
                <w:rFonts w:hint="eastAsia" w:eastAsia="等线" w:cs="Arial"/>
                <w:sz w:val="18"/>
                <w:szCs w:val="18"/>
              </w:rPr>
              <w:t xml:space="preserve">Configuration of the time domain resource allocation (TDRA) table </w:t>
            </w:r>
            <w:r>
              <w:rPr>
                <w:rFonts w:eastAsia="等线" w:cs="Arial"/>
                <w:sz w:val="18"/>
                <w:szCs w:val="18"/>
              </w:rPr>
              <w:t xml:space="preserve">only </w:t>
            </w:r>
            <w:r>
              <w:rPr>
                <w:rFonts w:hint="eastAsia" w:eastAsia="等线" w:cs="Arial"/>
                <w:sz w:val="18"/>
                <w:szCs w:val="18"/>
              </w:rPr>
              <w:t xml:space="preserve">for </w:t>
            </w:r>
            <w:r>
              <w:rPr>
                <w:rFonts w:eastAsia="等线" w:cs="Arial"/>
                <w:sz w:val="18"/>
                <w:szCs w:val="18"/>
              </w:rPr>
              <w:t>multi-P</w:t>
            </w:r>
            <w:r>
              <w:rPr>
                <w:rFonts w:hint="eastAsia" w:eastAsia="等线" w:cs="Arial"/>
                <w:sz w:val="18"/>
                <w:szCs w:val="18"/>
                <w:lang w:val="en-US" w:eastAsia="zh-CN"/>
              </w:rPr>
              <w:t>U</w:t>
            </w:r>
            <w:r>
              <w:rPr>
                <w:rFonts w:eastAsia="等线" w:cs="Arial"/>
                <w:sz w:val="18"/>
                <w:szCs w:val="18"/>
              </w:rPr>
              <w:t xml:space="preserve">SCH scheduling by DCI format 0_3. The TDRA index indicated by the DCI format 0_3 points to one or multiple time domain resource allocations in this TDRA table.  </w:t>
            </w:r>
          </w:p>
        </w:tc>
        <w:tc>
          <w:tcPr>
            <w:tcW w:w="576" w:type="pct"/>
            <w:shd w:val="clear" w:color="auto" w:fill="auto"/>
            <w:vAlign w:val="center"/>
          </w:tcPr>
          <w:p>
            <w:pPr>
              <w:numPr>
                <w:ilvl w:val="255"/>
                <w:numId w:val="0"/>
              </w:numPr>
              <w:spacing w:before="60" w:after="60"/>
              <w:rPr>
                <w:rFonts w:eastAsia="等线" w:cs="Arial"/>
                <w:sz w:val="18"/>
                <w:szCs w:val="18"/>
              </w:rPr>
            </w:pPr>
            <w:r>
              <w:rPr>
                <w:rFonts w:eastAsia="等线" w:cs="Arial"/>
                <w:sz w:val="18"/>
                <w:szCs w:val="18"/>
              </w:rPr>
              <w:t>PUSCH-TimeDomainResourceAllocationList-r16</w:t>
            </w:r>
          </w:p>
        </w:tc>
        <w:tc>
          <w:tcPr>
            <w:tcW w:w="436" w:type="pct"/>
            <w:vAlign w:val="center"/>
          </w:tcPr>
          <w:p>
            <w:pPr>
              <w:numPr>
                <w:ilvl w:val="255"/>
                <w:numId w:val="0"/>
              </w:numPr>
              <w:spacing w:before="60" w:after="60"/>
              <w:rPr>
                <w:rFonts w:eastAsia="等线" w:cs="Arial"/>
                <w:sz w:val="18"/>
                <w:szCs w:val="18"/>
              </w:rPr>
            </w:pPr>
            <w:r>
              <w:rPr>
                <w:rFonts w:hint="eastAsia" w:eastAsia="等线" w:cs="Arial"/>
                <w:sz w:val="18"/>
                <w:szCs w:val="18"/>
                <w:lang w:val="en-US" w:eastAsia="zh-CN"/>
              </w:rPr>
              <w:t>per BWP</w:t>
            </w:r>
          </w:p>
        </w:tc>
        <w:tc>
          <w:tcPr>
            <w:tcW w:w="438" w:type="pct"/>
            <w:vAlign w:val="center"/>
          </w:tcPr>
          <w:p>
            <w:pPr>
              <w:numPr>
                <w:ilvl w:val="255"/>
                <w:numId w:val="0"/>
              </w:numPr>
              <w:spacing w:before="60" w:after="60"/>
              <w:rPr>
                <w:rFonts w:eastAsia="等线" w:cs="Arial"/>
                <w:sz w:val="18"/>
                <w:szCs w:val="18"/>
              </w:rPr>
            </w:pPr>
            <w:r>
              <w:rPr>
                <w:rFonts w:hint="eastAsia" w:eastAsia="等线" w:cs="Arial"/>
                <w:sz w:val="18"/>
                <w:szCs w:val="18"/>
              </w:rPr>
              <w:t>UE</w:t>
            </w:r>
            <w:r>
              <w:rPr>
                <w:rFonts w:eastAsia="等线" w:cs="Arial"/>
                <w:sz w:val="18"/>
                <w:szCs w:val="18"/>
              </w:rPr>
              <w:t>-specific</w:t>
            </w:r>
          </w:p>
        </w:tc>
      </w:tr>
    </w:tbl>
    <w:p>
      <w:pPr>
        <w:spacing w:before="120" w:beforeLines="50"/>
        <w:rPr>
          <w:i/>
          <w:lang w:val="en-US" w:eastAsia="zh-CN"/>
        </w:rPr>
      </w:pPr>
    </w:p>
    <w:p>
      <w:pPr>
        <w:pStyle w:val="2"/>
      </w:pPr>
      <w:r>
        <w:rPr>
          <w:rFonts w:hint="eastAsia"/>
          <w:lang w:val="en-US" w:eastAsia="zh-CN"/>
        </w:rPr>
        <w:t>Reference</w:t>
      </w:r>
    </w:p>
    <w:p>
      <w:pPr>
        <w:pStyle w:val="33"/>
        <w:ind w:left="0"/>
        <w:rPr>
          <w:lang w:val="en-US" w:eastAsia="zh-CN"/>
        </w:rPr>
      </w:pPr>
      <w:r>
        <w:rPr>
          <w:rFonts w:hint="eastAsia" w:eastAsia="Malgun Gothic"/>
          <w:bCs/>
          <w:iCs/>
          <w:lang w:val="en-US" w:eastAsia="zh-CN"/>
        </w:rPr>
        <w:t xml:space="preserve">[1] </w:t>
      </w:r>
      <w:r>
        <w:rPr>
          <w:lang w:val="en-US"/>
        </w:rPr>
        <w:t>RAN#</w:t>
      </w:r>
      <w:r>
        <w:rPr>
          <w:rFonts w:hint="eastAsia"/>
          <w:lang w:val="en-US" w:eastAsia="zh-CN"/>
        </w:rPr>
        <w:t>106</w:t>
      </w:r>
      <w:r>
        <w:rPr>
          <w:lang w:val="en-US"/>
        </w:rPr>
        <w:t xml:space="preserve">, </w:t>
      </w:r>
      <w:r>
        <w:rPr>
          <w:rFonts w:hint="eastAsia" w:eastAsia="Malgun Gothic"/>
          <w:bCs/>
          <w:iCs/>
          <w:lang w:val="en-US" w:eastAsia="zh-CN"/>
        </w:rPr>
        <w:t>RP-2</w:t>
      </w:r>
      <w:r>
        <w:rPr>
          <w:rFonts w:hint="eastAsia"/>
          <w:lang w:val="en-US" w:eastAsia="zh-CN"/>
        </w:rPr>
        <w:t>42904, Revised</w:t>
      </w:r>
      <w:r>
        <w:rPr>
          <w:lang w:val="en-US" w:eastAsia="zh-CN"/>
        </w:rPr>
        <w:t xml:space="preserve"> WID:</w:t>
      </w:r>
      <w:r>
        <w:rPr>
          <w:lang w:val="en-US"/>
        </w:rPr>
        <w:t xml:space="preserve"> </w:t>
      </w:r>
      <w:r>
        <w:rPr>
          <w:lang w:val="en-US" w:eastAsia="zh-CN"/>
        </w:rPr>
        <w:t xml:space="preserve">Multi-carrier enhancements for NR Phase </w:t>
      </w:r>
      <w:r>
        <w:rPr>
          <w:rFonts w:hint="eastAsia"/>
          <w:lang w:val="en-US" w:eastAsia="zh-CN"/>
        </w:rPr>
        <w:t>3,</w:t>
      </w:r>
      <w:r>
        <w:rPr>
          <w:rFonts w:hint="eastAsia"/>
          <w:lang w:val="en-US"/>
        </w:rPr>
        <w:t xml:space="preserve"> </w:t>
      </w:r>
      <w:r>
        <w:rPr>
          <w:lang w:val="en-US" w:eastAsia="zh-CN"/>
        </w:rPr>
        <w:t>Lenovo</w:t>
      </w:r>
    </w:p>
    <w:p>
      <w:pPr>
        <w:pStyle w:val="33"/>
        <w:ind w:left="0"/>
        <w:rPr>
          <w:lang w:val="en-US" w:eastAsia="zh-CN"/>
        </w:rPr>
      </w:pPr>
      <w:r>
        <w:rPr>
          <w:rFonts w:hint="eastAsia" w:eastAsia="Malgun Gothic"/>
          <w:bCs/>
          <w:iCs/>
          <w:lang w:val="en-US" w:eastAsia="zh-CN"/>
        </w:rPr>
        <w:t xml:space="preserve">[2] </w:t>
      </w:r>
      <w:r>
        <w:rPr>
          <w:lang w:val="en-US"/>
        </w:rPr>
        <w:t>RAN#</w:t>
      </w:r>
      <w:r>
        <w:rPr>
          <w:rFonts w:hint="eastAsia"/>
          <w:lang w:val="en-US" w:eastAsia="zh-CN"/>
        </w:rPr>
        <w:t>105</w:t>
      </w:r>
      <w:r>
        <w:rPr>
          <w:lang w:val="en-US"/>
        </w:rPr>
        <w:t xml:space="preserve">, </w:t>
      </w:r>
      <w:r>
        <w:rPr>
          <w:rFonts w:hint="eastAsia" w:eastAsia="Malgun Gothic"/>
          <w:bCs/>
          <w:iCs/>
          <w:lang w:val="en-US" w:eastAsia="zh-CN"/>
        </w:rPr>
        <w:t>RP-2</w:t>
      </w:r>
      <w:r>
        <w:rPr>
          <w:rFonts w:hint="eastAsia"/>
          <w:lang w:val="en-US" w:eastAsia="zh-CN"/>
        </w:rPr>
        <w:t xml:space="preserve">42379, </w:t>
      </w:r>
      <w:r>
        <w:rPr>
          <w:lang w:val="en-US" w:eastAsia="zh-CN"/>
        </w:rPr>
        <w:t>Way forward on new RAN1/RAN2/RAN3 led REL-19 proposals</w:t>
      </w:r>
      <w:r>
        <w:rPr>
          <w:rFonts w:hint="eastAsia"/>
          <w:lang w:val="en-US" w:eastAsia="zh-CN"/>
        </w:rPr>
        <w:t xml:space="preserve">, </w:t>
      </w:r>
      <w:r>
        <w:rPr>
          <w:lang w:val="en-US" w:eastAsia="zh-CN"/>
        </w:rPr>
        <w:t>RAN chair (Qualcomm)</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8"/>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15F505D4"/>
    <w:multiLevelType w:val="multilevel"/>
    <w:tmpl w:val="15F505D4"/>
    <w:lvl w:ilvl="0" w:tentative="0">
      <w:start w:val="1"/>
      <w:numFmt w:val="decimal"/>
      <w:pStyle w:val="35"/>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6991C51"/>
    <w:multiLevelType w:val="multilevel"/>
    <w:tmpl w:val="16991C51"/>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7BEE0B6"/>
    <w:multiLevelType w:val="multilevel"/>
    <w:tmpl w:val="17BEE0B6"/>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7">
    <w:nsid w:val="2158618C"/>
    <w:multiLevelType w:val="multilevel"/>
    <w:tmpl w:val="2158618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2B64073"/>
    <w:multiLevelType w:val="multilevel"/>
    <w:tmpl w:val="32B64073"/>
    <w:lvl w:ilvl="0" w:tentative="0">
      <w:start w:val="1"/>
      <w:numFmt w:val="bullet"/>
      <w:lvlText w:val="–"/>
      <w:lvlJc w:val="left"/>
      <w:pPr>
        <w:ind w:left="720" w:hanging="360"/>
      </w:pPr>
      <w:rPr>
        <w:rFonts w:hint="default" w:ascii="Arial" w:hAnsi="Arial" w:cs="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35EA898E"/>
    <w:multiLevelType w:val="singleLevel"/>
    <w:tmpl w:val="35EA898E"/>
    <w:lvl w:ilvl="0" w:tentative="0">
      <w:start w:val="1"/>
      <w:numFmt w:val="bullet"/>
      <w:lvlText w:val=""/>
      <w:lvlJc w:val="left"/>
      <w:pPr>
        <w:ind w:left="420" w:hanging="420"/>
      </w:pPr>
      <w:rPr>
        <w:rFonts w:hint="default" w:ascii="Wingdings" w:hAnsi="Wingdings"/>
      </w:rPr>
    </w:lvl>
  </w:abstractNum>
  <w:abstractNum w:abstractNumId="11">
    <w:nsid w:val="382946E8"/>
    <w:multiLevelType w:val="multilevel"/>
    <w:tmpl w:val="382946E8"/>
    <w:lvl w:ilvl="0" w:tentative="0">
      <w:start w:val="1"/>
      <w:numFmt w:val="bullet"/>
      <w:pStyle w:val="4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3">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14">
    <w:nsid w:val="464D3319"/>
    <w:multiLevelType w:val="multilevel"/>
    <w:tmpl w:val="464D3319"/>
    <w:lvl w:ilvl="0" w:tentative="0">
      <w:start w:val="1"/>
      <w:numFmt w:val="decimal"/>
      <w:pStyle w:val="5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74274C7"/>
    <w:multiLevelType w:val="multilevel"/>
    <w:tmpl w:val="474274C7"/>
    <w:lvl w:ilvl="0" w:tentative="0">
      <w:start w:val="1"/>
      <w:numFmt w:val="decimalZero"/>
      <w:pStyle w:val="6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6">
    <w:nsid w:val="4FFE7EA2"/>
    <w:multiLevelType w:val="multilevel"/>
    <w:tmpl w:val="4FFE7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8">
    <w:nsid w:val="5F1912B1"/>
    <w:multiLevelType w:val="multilevel"/>
    <w:tmpl w:val="5F1912B1"/>
    <w:lvl w:ilvl="0" w:tentative="0">
      <w:start w:val="1"/>
      <w:numFmt w:val="bullet"/>
      <w:pStyle w:val="61"/>
      <w:lvlText w:val=""/>
      <w:lvlJc w:val="left"/>
      <w:pPr>
        <w:ind w:left="720" w:hanging="360"/>
      </w:pPr>
      <w:rPr>
        <w:rFonts w:hint="default" w:ascii="Symbol" w:hAnsi="Symbol"/>
      </w:rPr>
    </w:lvl>
    <w:lvl w:ilvl="1" w:tentative="0">
      <w:start w:val="1"/>
      <w:numFmt w:val="bullet"/>
      <w:pStyle w:val="62"/>
      <w:lvlText w:val="o"/>
      <w:lvlJc w:val="left"/>
      <w:pPr>
        <w:ind w:left="1440" w:hanging="360"/>
      </w:pPr>
      <w:rPr>
        <w:rFonts w:hint="default" w:ascii="Courier New" w:hAnsi="Courier New" w:cs="Courier New"/>
      </w:rPr>
    </w:lvl>
    <w:lvl w:ilvl="2" w:tentative="0">
      <w:start w:val="1"/>
      <w:numFmt w:val="bullet"/>
      <w:pStyle w:val="63"/>
      <w:lvlText w:val=""/>
      <w:lvlJc w:val="left"/>
      <w:pPr>
        <w:ind w:left="2160" w:hanging="360"/>
      </w:pPr>
      <w:rPr>
        <w:rFonts w:hint="default" w:ascii="Wingdings" w:hAnsi="Wingdings"/>
      </w:rPr>
    </w:lvl>
    <w:lvl w:ilvl="3" w:tentative="0">
      <w:start w:val="1"/>
      <w:numFmt w:val="bullet"/>
      <w:pStyle w:val="6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12"/>
  </w:num>
  <w:num w:numId="2">
    <w:abstractNumId w:val="0"/>
  </w:num>
  <w:num w:numId="3">
    <w:abstractNumId w:val="19"/>
  </w:num>
  <w:num w:numId="4">
    <w:abstractNumId w:val="13"/>
  </w:num>
  <w:num w:numId="5">
    <w:abstractNumId w:val="17"/>
  </w:num>
  <w:num w:numId="6">
    <w:abstractNumId w:val="6"/>
  </w:num>
  <w:num w:numId="7">
    <w:abstractNumId w:val="2"/>
  </w:num>
  <w:num w:numId="8">
    <w:abstractNumId w:val="11"/>
  </w:num>
  <w:num w:numId="9">
    <w:abstractNumId w:val="14"/>
  </w:num>
  <w:num w:numId="10">
    <w:abstractNumId w:val="1"/>
    <w:lvlOverride w:ilvl="0">
      <w:lvl w:ilvl="0" w:tentative="1">
        <w:start w:val="1"/>
        <w:numFmt w:val="bullet"/>
        <w:pStyle w:val="55"/>
        <w:lvlText w:val=""/>
        <w:legacy w:legacy="1" w:legacySpace="0" w:legacyIndent="360"/>
        <w:lvlJc w:val="left"/>
        <w:pPr>
          <w:ind w:left="360" w:hanging="360"/>
        </w:pPr>
        <w:rPr>
          <w:rFonts w:hint="default" w:ascii="Symbol" w:hAnsi="Symbol"/>
        </w:rPr>
      </w:lvl>
    </w:lvlOverride>
  </w:num>
  <w:num w:numId="11">
    <w:abstractNumId w:val="18"/>
  </w:num>
  <w:num w:numId="12">
    <w:abstractNumId w:val="15"/>
  </w:num>
  <w:num w:numId="13">
    <w:abstractNumId w:val="16"/>
  </w:num>
  <w:num w:numId="14">
    <w:abstractNumId w:val="9"/>
  </w:num>
  <w:num w:numId="15">
    <w:abstractNumId w:val="5"/>
  </w:num>
  <w:num w:numId="16">
    <w:abstractNumId w:val="7"/>
  </w:num>
  <w:num w:numId="17">
    <w:abstractNumId w:val="4"/>
  </w:num>
  <w:num w:numId="18">
    <w:abstractNumId w:val="10"/>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615E"/>
    <w:rsid w:val="000B7303"/>
    <w:rsid w:val="000C173C"/>
    <w:rsid w:val="000C488F"/>
    <w:rsid w:val="000C76AA"/>
    <w:rsid w:val="000D2717"/>
    <w:rsid w:val="000D501A"/>
    <w:rsid w:val="000F305E"/>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6FAD"/>
    <w:rsid w:val="002270D9"/>
    <w:rsid w:val="00250CA3"/>
    <w:rsid w:val="0025209E"/>
    <w:rsid w:val="002559E4"/>
    <w:rsid w:val="00256CC2"/>
    <w:rsid w:val="00262C86"/>
    <w:rsid w:val="0026664C"/>
    <w:rsid w:val="00280711"/>
    <w:rsid w:val="00280F2A"/>
    <w:rsid w:val="0028552F"/>
    <w:rsid w:val="002904DA"/>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35BB"/>
    <w:rsid w:val="00377D4E"/>
    <w:rsid w:val="003811DF"/>
    <w:rsid w:val="00391338"/>
    <w:rsid w:val="003914C3"/>
    <w:rsid w:val="00391E34"/>
    <w:rsid w:val="00391FF7"/>
    <w:rsid w:val="00393676"/>
    <w:rsid w:val="00395295"/>
    <w:rsid w:val="003974D0"/>
    <w:rsid w:val="00397D03"/>
    <w:rsid w:val="003A4F2B"/>
    <w:rsid w:val="003A5A27"/>
    <w:rsid w:val="003B3345"/>
    <w:rsid w:val="003B35EE"/>
    <w:rsid w:val="003D47A3"/>
    <w:rsid w:val="003D4E84"/>
    <w:rsid w:val="003D5271"/>
    <w:rsid w:val="003E3EF7"/>
    <w:rsid w:val="003E67DD"/>
    <w:rsid w:val="003F7762"/>
    <w:rsid w:val="0040556F"/>
    <w:rsid w:val="0042112D"/>
    <w:rsid w:val="004237DC"/>
    <w:rsid w:val="00430FCB"/>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7DD"/>
    <w:rsid w:val="00601A7A"/>
    <w:rsid w:val="006035C5"/>
    <w:rsid w:val="006041B9"/>
    <w:rsid w:val="00606200"/>
    <w:rsid w:val="00613CFB"/>
    <w:rsid w:val="00616E48"/>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37633"/>
    <w:rsid w:val="00737E1F"/>
    <w:rsid w:val="00750B7B"/>
    <w:rsid w:val="00766308"/>
    <w:rsid w:val="00770DCB"/>
    <w:rsid w:val="00782382"/>
    <w:rsid w:val="00784472"/>
    <w:rsid w:val="00785DFB"/>
    <w:rsid w:val="00786AA3"/>
    <w:rsid w:val="007967DD"/>
    <w:rsid w:val="00797045"/>
    <w:rsid w:val="007973C7"/>
    <w:rsid w:val="007A0861"/>
    <w:rsid w:val="007A1B62"/>
    <w:rsid w:val="007A2874"/>
    <w:rsid w:val="007A5383"/>
    <w:rsid w:val="007B1FA0"/>
    <w:rsid w:val="007B2956"/>
    <w:rsid w:val="007B2E51"/>
    <w:rsid w:val="007B4CE8"/>
    <w:rsid w:val="007B6DC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73A"/>
    <w:rsid w:val="008A5C7E"/>
    <w:rsid w:val="008A716E"/>
    <w:rsid w:val="008B661E"/>
    <w:rsid w:val="008C09EB"/>
    <w:rsid w:val="008D1A2D"/>
    <w:rsid w:val="008D2A72"/>
    <w:rsid w:val="008D5968"/>
    <w:rsid w:val="008E5F6E"/>
    <w:rsid w:val="008E686F"/>
    <w:rsid w:val="008F3502"/>
    <w:rsid w:val="008F5BF6"/>
    <w:rsid w:val="00910C20"/>
    <w:rsid w:val="00913AC7"/>
    <w:rsid w:val="00915C4B"/>
    <w:rsid w:val="00921AEB"/>
    <w:rsid w:val="00923D59"/>
    <w:rsid w:val="009312AE"/>
    <w:rsid w:val="0093259E"/>
    <w:rsid w:val="0094169B"/>
    <w:rsid w:val="00950AF9"/>
    <w:rsid w:val="009521CE"/>
    <w:rsid w:val="00952287"/>
    <w:rsid w:val="00957948"/>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D062C"/>
    <w:rsid w:val="009D1451"/>
    <w:rsid w:val="009D236F"/>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609D7"/>
    <w:rsid w:val="00A62D0B"/>
    <w:rsid w:val="00A72ADF"/>
    <w:rsid w:val="00A7446C"/>
    <w:rsid w:val="00A77F12"/>
    <w:rsid w:val="00A80ACE"/>
    <w:rsid w:val="00A80CF5"/>
    <w:rsid w:val="00A91003"/>
    <w:rsid w:val="00A91CA6"/>
    <w:rsid w:val="00A9321D"/>
    <w:rsid w:val="00AA577F"/>
    <w:rsid w:val="00AA788E"/>
    <w:rsid w:val="00AB1B90"/>
    <w:rsid w:val="00AB48F4"/>
    <w:rsid w:val="00AB6876"/>
    <w:rsid w:val="00AC3166"/>
    <w:rsid w:val="00AC3359"/>
    <w:rsid w:val="00AC3A5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5FBC"/>
    <w:rsid w:val="00C6743C"/>
    <w:rsid w:val="00C774D0"/>
    <w:rsid w:val="00C82A4A"/>
    <w:rsid w:val="00C86B31"/>
    <w:rsid w:val="00C91E19"/>
    <w:rsid w:val="00C94D05"/>
    <w:rsid w:val="00C96043"/>
    <w:rsid w:val="00CA2E0F"/>
    <w:rsid w:val="00CC150C"/>
    <w:rsid w:val="00CC4D81"/>
    <w:rsid w:val="00CE0277"/>
    <w:rsid w:val="00CE06D2"/>
    <w:rsid w:val="00CE15BD"/>
    <w:rsid w:val="00CF03B6"/>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A02C9"/>
    <w:rsid w:val="00DA2A1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F2A"/>
    <w:rsid w:val="00F20615"/>
    <w:rsid w:val="00F2238C"/>
    <w:rsid w:val="00F3139D"/>
    <w:rsid w:val="00F338B7"/>
    <w:rsid w:val="00F35A49"/>
    <w:rsid w:val="00F45EED"/>
    <w:rsid w:val="00F517AE"/>
    <w:rsid w:val="00F56022"/>
    <w:rsid w:val="00F6288A"/>
    <w:rsid w:val="00F62AF3"/>
    <w:rsid w:val="00F65419"/>
    <w:rsid w:val="00F66BB3"/>
    <w:rsid w:val="00F803D4"/>
    <w:rsid w:val="00F916AF"/>
    <w:rsid w:val="00F96648"/>
    <w:rsid w:val="00FA240A"/>
    <w:rsid w:val="00FA477A"/>
    <w:rsid w:val="00FB6E31"/>
    <w:rsid w:val="00FC2EED"/>
    <w:rsid w:val="00FD2C4C"/>
    <w:rsid w:val="00FD6B32"/>
    <w:rsid w:val="00FE5131"/>
    <w:rsid w:val="00FE5ABD"/>
    <w:rsid w:val="00FE5F0A"/>
    <w:rsid w:val="00FF345F"/>
    <w:rsid w:val="00FF5AAE"/>
    <w:rsid w:val="00FF7BEB"/>
    <w:rsid w:val="01325FE6"/>
    <w:rsid w:val="018A0E13"/>
    <w:rsid w:val="018A58CB"/>
    <w:rsid w:val="01F11ABC"/>
    <w:rsid w:val="02CF14AA"/>
    <w:rsid w:val="03C64D74"/>
    <w:rsid w:val="03C73C40"/>
    <w:rsid w:val="0461636B"/>
    <w:rsid w:val="04BE2ED4"/>
    <w:rsid w:val="04CD030F"/>
    <w:rsid w:val="05171657"/>
    <w:rsid w:val="054D2B43"/>
    <w:rsid w:val="06451A56"/>
    <w:rsid w:val="06963DDF"/>
    <w:rsid w:val="06D0743C"/>
    <w:rsid w:val="094139BD"/>
    <w:rsid w:val="09764BF0"/>
    <w:rsid w:val="0984657C"/>
    <w:rsid w:val="0A025FF9"/>
    <w:rsid w:val="0ADA0B8C"/>
    <w:rsid w:val="0BAB60B5"/>
    <w:rsid w:val="0C301D6B"/>
    <w:rsid w:val="0CAA7322"/>
    <w:rsid w:val="0D6938A2"/>
    <w:rsid w:val="0D7865A5"/>
    <w:rsid w:val="0DA63A05"/>
    <w:rsid w:val="0DC83A75"/>
    <w:rsid w:val="0E1B4E76"/>
    <w:rsid w:val="0EBB3639"/>
    <w:rsid w:val="0F84587A"/>
    <w:rsid w:val="100D7863"/>
    <w:rsid w:val="10BB2E7F"/>
    <w:rsid w:val="115C2A08"/>
    <w:rsid w:val="13B74DE6"/>
    <w:rsid w:val="13F218D0"/>
    <w:rsid w:val="143602DA"/>
    <w:rsid w:val="14720225"/>
    <w:rsid w:val="151E3433"/>
    <w:rsid w:val="1552298B"/>
    <w:rsid w:val="1595150C"/>
    <w:rsid w:val="15B029A2"/>
    <w:rsid w:val="166938A9"/>
    <w:rsid w:val="16815279"/>
    <w:rsid w:val="16FF4318"/>
    <w:rsid w:val="170F24F1"/>
    <w:rsid w:val="179F6362"/>
    <w:rsid w:val="187334AB"/>
    <w:rsid w:val="1A424E7F"/>
    <w:rsid w:val="1AAA39D4"/>
    <w:rsid w:val="1ABB4669"/>
    <w:rsid w:val="1B505DB9"/>
    <w:rsid w:val="1BD35136"/>
    <w:rsid w:val="1BF4566B"/>
    <w:rsid w:val="1C93646E"/>
    <w:rsid w:val="1CF76192"/>
    <w:rsid w:val="1D3D2FFA"/>
    <w:rsid w:val="1DC064A5"/>
    <w:rsid w:val="1E7246A5"/>
    <w:rsid w:val="1EE559BD"/>
    <w:rsid w:val="1F3025BA"/>
    <w:rsid w:val="20EB001C"/>
    <w:rsid w:val="20EC4DFB"/>
    <w:rsid w:val="21962D28"/>
    <w:rsid w:val="219630B6"/>
    <w:rsid w:val="22392531"/>
    <w:rsid w:val="22F4099F"/>
    <w:rsid w:val="23384591"/>
    <w:rsid w:val="24AB32DF"/>
    <w:rsid w:val="256E58F7"/>
    <w:rsid w:val="25AF1BE4"/>
    <w:rsid w:val="25DB4AFE"/>
    <w:rsid w:val="26130D8E"/>
    <w:rsid w:val="266D329C"/>
    <w:rsid w:val="26A76454"/>
    <w:rsid w:val="2774563A"/>
    <w:rsid w:val="2907735C"/>
    <w:rsid w:val="29AC1FD3"/>
    <w:rsid w:val="2A8C4F5A"/>
    <w:rsid w:val="2B426863"/>
    <w:rsid w:val="2D18338A"/>
    <w:rsid w:val="2D636E4D"/>
    <w:rsid w:val="2DA835D6"/>
    <w:rsid w:val="2E7F19D7"/>
    <w:rsid w:val="2EE35A04"/>
    <w:rsid w:val="2EFA558F"/>
    <w:rsid w:val="2F35161A"/>
    <w:rsid w:val="2FA8493D"/>
    <w:rsid w:val="3075518C"/>
    <w:rsid w:val="30E965CE"/>
    <w:rsid w:val="31406FDD"/>
    <w:rsid w:val="32233775"/>
    <w:rsid w:val="32285C55"/>
    <w:rsid w:val="32296F5A"/>
    <w:rsid w:val="32851613"/>
    <w:rsid w:val="32A974A8"/>
    <w:rsid w:val="32EA1597"/>
    <w:rsid w:val="3312199A"/>
    <w:rsid w:val="33BB2EB6"/>
    <w:rsid w:val="35400790"/>
    <w:rsid w:val="358F3326"/>
    <w:rsid w:val="359F2D89"/>
    <w:rsid w:val="36460F99"/>
    <w:rsid w:val="36595A3B"/>
    <w:rsid w:val="36AC62D8"/>
    <w:rsid w:val="37872E74"/>
    <w:rsid w:val="381419DC"/>
    <w:rsid w:val="381F1A74"/>
    <w:rsid w:val="39FA48AC"/>
    <w:rsid w:val="3A9474A1"/>
    <w:rsid w:val="3AFE0C57"/>
    <w:rsid w:val="3C340CD4"/>
    <w:rsid w:val="3C3976F6"/>
    <w:rsid w:val="3C7A0535"/>
    <w:rsid w:val="3C8E2667"/>
    <w:rsid w:val="3D027E9D"/>
    <w:rsid w:val="3DD16176"/>
    <w:rsid w:val="3E855DC8"/>
    <w:rsid w:val="3F864FC5"/>
    <w:rsid w:val="400865EF"/>
    <w:rsid w:val="400C2735"/>
    <w:rsid w:val="40DB4E75"/>
    <w:rsid w:val="41E50BAA"/>
    <w:rsid w:val="42681DFC"/>
    <w:rsid w:val="429C4727"/>
    <w:rsid w:val="43615785"/>
    <w:rsid w:val="44092E2E"/>
    <w:rsid w:val="44562E10"/>
    <w:rsid w:val="4463567E"/>
    <w:rsid w:val="44EB6041"/>
    <w:rsid w:val="46252AC1"/>
    <w:rsid w:val="46F00934"/>
    <w:rsid w:val="47087F18"/>
    <w:rsid w:val="47993F84"/>
    <w:rsid w:val="47A30116"/>
    <w:rsid w:val="47C42C03"/>
    <w:rsid w:val="482029D7"/>
    <w:rsid w:val="48410F19"/>
    <w:rsid w:val="489973AA"/>
    <w:rsid w:val="4AA96E37"/>
    <w:rsid w:val="4BD40DF5"/>
    <w:rsid w:val="4CF856D5"/>
    <w:rsid w:val="4D094EC3"/>
    <w:rsid w:val="4D541AEE"/>
    <w:rsid w:val="4D547FED"/>
    <w:rsid w:val="4D7F46B4"/>
    <w:rsid w:val="4E393586"/>
    <w:rsid w:val="4E82266A"/>
    <w:rsid w:val="4EC54E1A"/>
    <w:rsid w:val="4EDB212D"/>
    <w:rsid w:val="4F8151E4"/>
    <w:rsid w:val="4FF33DB8"/>
    <w:rsid w:val="50DD75B9"/>
    <w:rsid w:val="50F47C38"/>
    <w:rsid w:val="51087569"/>
    <w:rsid w:val="51120C8D"/>
    <w:rsid w:val="51563A00"/>
    <w:rsid w:val="517A4EB9"/>
    <w:rsid w:val="519809A2"/>
    <w:rsid w:val="52586AA6"/>
    <w:rsid w:val="536C1D08"/>
    <w:rsid w:val="53AF716D"/>
    <w:rsid w:val="53CA3594"/>
    <w:rsid w:val="55466588"/>
    <w:rsid w:val="56561764"/>
    <w:rsid w:val="56B247E4"/>
    <w:rsid w:val="5712706A"/>
    <w:rsid w:val="5725086A"/>
    <w:rsid w:val="5735569F"/>
    <w:rsid w:val="576B17B6"/>
    <w:rsid w:val="578215FD"/>
    <w:rsid w:val="585844FD"/>
    <w:rsid w:val="58E173CD"/>
    <w:rsid w:val="599154FE"/>
    <w:rsid w:val="5AF52627"/>
    <w:rsid w:val="5BED775E"/>
    <w:rsid w:val="5C3C41E3"/>
    <w:rsid w:val="5C865BC7"/>
    <w:rsid w:val="5D8C1586"/>
    <w:rsid w:val="5DA65EFA"/>
    <w:rsid w:val="5DF272AD"/>
    <w:rsid w:val="5F016DFC"/>
    <w:rsid w:val="5F376BBC"/>
    <w:rsid w:val="5F9304D9"/>
    <w:rsid w:val="608060E1"/>
    <w:rsid w:val="624C6651"/>
    <w:rsid w:val="631611C1"/>
    <w:rsid w:val="648065F1"/>
    <w:rsid w:val="65085009"/>
    <w:rsid w:val="654D24C2"/>
    <w:rsid w:val="6573320B"/>
    <w:rsid w:val="657B5DDA"/>
    <w:rsid w:val="65A65279"/>
    <w:rsid w:val="67482AED"/>
    <w:rsid w:val="683A638D"/>
    <w:rsid w:val="687675E4"/>
    <w:rsid w:val="68BD6AD3"/>
    <w:rsid w:val="68DF491C"/>
    <w:rsid w:val="69CD77BD"/>
    <w:rsid w:val="69E25200"/>
    <w:rsid w:val="6A095303"/>
    <w:rsid w:val="6A911D64"/>
    <w:rsid w:val="6AE67270"/>
    <w:rsid w:val="6BF343C7"/>
    <w:rsid w:val="6D2F41F3"/>
    <w:rsid w:val="6DD67943"/>
    <w:rsid w:val="6E3D5571"/>
    <w:rsid w:val="6E732CC4"/>
    <w:rsid w:val="6EAC66B8"/>
    <w:rsid w:val="6F00762E"/>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8C3843"/>
    <w:rsid w:val="765D4390"/>
    <w:rsid w:val="76C53533"/>
    <w:rsid w:val="76FE4FA3"/>
    <w:rsid w:val="777D6AC4"/>
    <w:rsid w:val="779C50F7"/>
    <w:rsid w:val="78BE1FA4"/>
    <w:rsid w:val="78FA4568"/>
    <w:rsid w:val="795D662A"/>
    <w:rsid w:val="79845312"/>
    <w:rsid w:val="799C1155"/>
    <w:rsid w:val="79A4470B"/>
    <w:rsid w:val="79C505D8"/>
    <w:rsid w:val="7A2B7F7C"/>
    <w:rsid w:val="7A6648DE"/>
    <w:rsid w:val="7ABA0AE5"/>
    <w:rsid w:val="7AD54B92"/>
    <w:rsid w:val="7B8051E5"/>
    <w:rsid w:val="7C1C208B"/>
    <w:rsid w:val="7C854FCE"/>
    <w:rsid w:val="7C8A45E3"/>
    <w:rsid w:val="7CC321BF"/>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after="120"/>
      <w:outlineLvl w:val="8"/>
    </w:pPr>
    <w:rPr>
      <w:rFonts w:ascii="Arial" w:hAnsi="Arial"/>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1"/>
    <w:semiHidden/>
    <w:qFormat/>
    <w:uiPriority w:val="0"/>
    <w:pPr>
      <w:tabs>
        <w:tab w:val="left" w:pos="1418"/>
        <w:tab w:val="left" w:pos="4678"/>
        <w:tab w:val="left" w:pos="5954"/>
        <w:tab w:val="left" w:pos="7088"/>
      </w:tabs>
      <w:spacing w:after="240"/>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
    <w:qFormat/>
    <w:uiPriority w:val="0"/>
    <w:pPr>
      <w:ind w:left="851"/>
    </w:pPr>
  </w:style>
  <w:style w:type="paragraph" w:styleId="15">
    <w:name w:val="Balloon Text"/>
    <w:basedOn w:val="1"/>
    <w:link w:val="32"/>
    <w:semiHidden/>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19">
    <w:name w:val="List"/>
    <w:basedOn w:val="1"/>
    <w:qFormat/>
    <w:uiPriority w:val="0"/>
    <w:pPr>
      <w:ind w:left="568" w:hanging="284"/>
    </w:pPr>
  </w:style>
  <w:style w:type="paragraph" w:styleId="20">
    <w:name w:val="Normal (Web)"/>
    <w:basedOn w:val="1"/>
    <w:semiHidden/>
    <w:unhideWhenUsed/>
    <w:qFormat/>
    <w:uiPriority w:val="99"/>
    <w:pPr>
      <w:spacing w:beforeAutospacing="1" w:after="0" w:afterAutospacing="1"/>
      <w:jc w:val="left"/>
    </w:pPr>
    <w:rPr>
      <w:sz w:val="24"/>
      <w:lang w:val="en-US" w:eastAsia="zh-CN"/>
    </w:rPr>
  </w:style>
  <w:style w:type="paragraph" w:styleId="21">
    <w:name w:val="annotation subject"/>
    <w:basedOn w:val="12"/>
    <w:next w:val="12"/>
    <w:link w:val="52"/>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page number"/>
    <w:basedOn w:val="24"/>
    <w:semiHidden/>
    <w:qFormat/>
    <w:uiPriority w:val="0"/>
  </w:style>
  <w:style w:type="character" w:styleId="27">
    <w:name w:val="annotation reference"/>
    <w:semiHidden/>
    <w:qFormat/>
    <w:uiPriority w:val="0"/>
    <w:rPr>
      <w:sz w:val="16"/>
    </w:rPr>
  </w:style>
  <w:style w:type="paragraph" w:customStyle="1" w:styleId="28">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29">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0">
    <w:name w:val="done"/>
    <w:basedOn w:val="29"/>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6"/>
      </w:numPr>
      <w:tabs>
        <w:tab w:val="left" w:pos="0"/>
      </w:tabs>
    </w:pPr>
    <w:rPr>
      <w:color w:val="FF0000"/>
    </w:rPr>
  </w:style>
  <w:style w:type="character" w:customStyle="1" w:styleId="32">
    <w:name w:val="批注框文本 字符"/>
    <w:link w:val="15"/>
    <w:semiHidden/>
    <w:qFormat/>
    <w:uiPriority w:val="99"/>
    <w:rPr>
      <w:rFonts w:ascii="Segoe UI" w:hAnsi="Segoe UI" w:cs="Segoe UI"/>
      <w:sz w:val="18"/>
      <w:szCs w:val="18"/>
      <w:lang w:eastAsia="en-US"/>
    </w:rPr>
  </w:style>
  <w:style w:type="paragraph" w:styleId="33">
    <w:name w:val="List Paragraph"/>
    <w:basedOn w:val="1"/>
    <w:link w:val="57"/>
    <w:qFormat/>
    <w:uiPriority w:val="34"/>
    <w:pPr>
      <w:ind w:left="720"/>
    </w:pPr>
  </w:style>
  <w:style w:type="character" w:customStyle="1" w:styleId="34">
    <w:name w:val="不明显参考1"/>
    <w:qFormat/>
    <w:uiPriority w:val="31"/>
    <w:rPr>
      <w:smallCaps/>
      <w:color w:val="5A5A5A"/>
    </w:rPr>
  </w:style>
  <w:style w:type="paragraph" w:customStyle="1" w:styleId="35">
    <w:name w:val="References"/>
    <w:basedOn w:val="1"/>
    <w:link w:val="36"/>
    <w:qFormat/>
    <w:uiPriority w:val="0"/>
    <w:pPr>
      <w:numPr>
        <w:ilvl w:val="0"/>
        <w:numId w:val="7"/>
      </w:numPr>
      <w:spacing w:after="60"/>
      <w:ind w:left="357" w:hanging="357"/>
    </w:pPr>
  </w:style>
  <w:style w:type="character" w:customStyle="1" w:styleId="36">
    <w:name w:val="References 字符"/>
    <w:link w:val="35"/>
    <w:qFormat/>
    <w:uiPriority w:val="0"/>
    <w:rPr>
      <w:lang w:val="en-GB" w:eastAsia="en-US"/>
    </w:rPr>
  </w:style>
  <w:style w:type="paragraph" w:styleId="37">
    <w:name w:val="Quote"/>
    <w:basedOn w:val="1"/>
    <w:next w:val="1"/>
    <w:link w:val="38"/>
    <w:qFormat/>
    <w:uiPriority w:val="29"/>
    <w:pPr>
      <w:spacing w:before="200" w:after="160"/>
      <w:ind w:left="864" w:right="864"/>
      <w:jc w:val="center"/>
    </w:pPr>
    <w:rPr>
      <w:i/>
      <w:iCs/>
      <w:color w:val="404040"/>
    </w:rPr>
  </w:style>
  <w:style w:type="character" w:customStyle="1" w:styleId="38">
    <w:name w:val="引用 字符"/>
    <w:link w:val="37"/>
    <w:qFormat/>
    <w:uiPriority w:val="29"/>
    <w:rPr>
      <w:i/>
      <w:iCs/>
      <w:color w:val="404040"/>
      <w:lang w:val="en-GB" w:eastAsia="en-US"/>
    </w:rPr>
  </w:style>
  <w:style w:type="character" w:customStyle="1" w:styleId="39">
    <w:name w:val="书籍标题1"/>
    <w:qFormat/>
    <w:uiPriority w:val="33"/>
    <w:rPr>
      <w:b/>
      <w:bCs/>
      <w:i/>
      <w:iCs/>
      <w:spacing w:val="5"/>
    </w:rPr>
  </w:style>
  <w:style w:type="paragraph" w:styleId="40">
    <w:name w:val="No Spacing"/>
    <w:qFormat/>
    <w:uiPriority w:val="1"/>
    <w:rPr>
      <w:rFonts w:ascii="Times New Roman" w:hAnsi="Times New Roman" w:eastAsia="Times New Roman" w:cs="Times New Roman"/>
      <w:lang w:val="en-GB" w:eastAsia="en-US" w:bidi="ar-SA"/>
    </w:rPr>
  </w:style>
  <w:style w:type="paragraph" w:customStyle="1" w:styleId="41">
    <w:name w:val="B1"/>
    <w:basedOn w:val="19"/>
    <w:link w:val="43"/>
    <w:qFormat/>
    <w:uiPriority w:val="0"/>
    <w:pPr>
      <w:overflowPunct w:val="0"/>
      <w:autoSpaceDE w:val="0"/>
      <w:autoSpaceDN w:val="0"/>
      <w:adjustRightInd w:val="0"/>
      <w:jc w:val="left"/>
      <w:textAlignment w:val="baseline"/>
    </w:pPr>
    <w:rPr>
      <w:rFonts w:eastAsiaTheme="minorEastAsia"/>
      <w:lang w:eastAsia="en-GB"/>
    </w:rPr>
  </w:style>
  <w:style w:type="paragraph" w:customStyle="1" w:styleId="42">
    <w:name w:val="B2"/>
    <w:basedOn w:val="14"/>
    <w:link w:val="44"/>
    <w:qFormat/>
    <w:uiPriority w:val="0"/>
    <w:pPr>
      <w:overflowPunct w:val="0"/>
      <w:autoSpaceDE w:val="0"/>
      <w:autoSpaceDN w:val="0"/>
      <w:adjustRightInd w:val="0"/>
      <w:jc w:val="left"/>
      <w:textAlignment w:val="baseline"/>
    </w:pPr>
    <w:rPr>
      <w:rFonts w:eastAsiaTheme="minorEastAsia"/>
      <w:lang w:eastAsia="en-GB"/>
    </w:rPr>
  </w:style>
  <w:style w:type="character" w:customStyle="1" w:styleId="43">
    <w:name w:val="B1 Char1"/>
    <w:link w:val="41"/>
    <w:qFormat/>
    <w:uiPriority w:val="0"/>
    <w:rPr>
      <w:lang w:val="en-GB" w:eastAsia="en-GB"/>
    </w:rPr>
  </w:style>
  <w:style w:type="character" w:customStyle="1" w:styleId="44">
    <w:name w:val="B2 Char"/>
    <w:link w:val="42"/>
    <w:qFormat/>
    <w:uiPriority w:val="0"/>
    <w:rPr>
      <w:lang w:val="en-GB" w:eastAsia="en-GB"/>
    </w:rPr>
  </w:style>
  <w:style w:type="paragraph" w:customStyle="1" w:styleId="45">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6">
    <w:name w:val="List Paragraph1"/>
    <w:basedOn w:val="1"/>
    <w:link w:val="50"/>
    <w:qFormat/>
    <w:uiPriority w:val="0"/>
    <w:pPr>
      <w:spacing w:after="0"/>
      <w:ind w:left="720"/>
      <w:contextualSpacing/>
      <w:jc w:val="left"/>
    </w:pPr>
    <w:rPr>
      <w:rFonts w:eastAsia="Times New Roman"/>
      <w:sz w:val="24"/>
      <w:szCs w:val="24"/>
      <w:lang w:val="en-US" w:eastAsia="zh-CN"/>
    </w:rPr>
  </w:style>
  <w:style w:type="paragraph" w:customStyle="1" w:styleId="47">
    <w:name w:val="B3"/>
    <w:basedOn w:val="11"/>
    <w:link w:val="48"/>
    <w:qFormat/>
    <w:uiPriority w:val="0"/>
    <w:pPr>
      <w:overflowPunct w:val="0"/>
      <w:autoSpaceDE w:val="0"/>
      <w:autoSpaceDN w:val="0"/>
      <w:adjustRightInd w:val="0"/>
      <w:jc w:val="left"/>
      <w:textAlignment w:val="baseline"/>
    </w:pPr>
    <w:rPr>
      <w:rFonts w:eastAsiaTheme="minorEastAsia"/>
      <w:lang w:eastAsia="en-GB"/>
    </w:rPr>
  </w:style>
  <w:style w:type="character" w:customStyle="1" w:styleId="48">
    <w:name w:val="B3 Char"/>
    <w:basedOn w:val="24"/>
    <w:link w:val="47"/>
    <w:qFormat/>
    <w:uiPriority w:val="0"/>
    <w:rPr>
      <w:lang w:val="en-GB" w:eastAsia="en-GB"/>
    </w:rPr>
  </w:style>
  <w:style w:type="paragraph" w:customStyle="1" w:styleId="49">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0">
    <w:name w:val="リスト段落 (文字)"/>
    <w:link w:val="46"/>
    <w:qFormat/>
    <w:uiPriority w:val="34"/>
    <w:rPr>
      <w:rFonts w:eastAsia="Times New Roman"/>
      <w:sz w:val="24"/>
      <w:szCs w:val="24"/>
    </w:rPr>
  </w:style>
  <w:style w:type="character" w:customStyle="1" w:styleId="51">
    <w:name w:val="批注文字 字符"/>
    <w:basedOn w:val="24"/>
    <w:link w:val="12"/>
    <w:semiHidden/>
    <w:qFormat/>
    <w:uiPriority w:val="0"/>
    <w:rPr>
      <w:rFonts w:ascii="Arial" w:hAnsi="Arial" w:eastAsia="宋体"/>
      <w:lang w:val="en-GB" w:eastAsia="en-US"/>
    </w:rPr>
  </w:style>
  <w:style w:type="character" w:customStyle="1" w:styleId="52">
    <w:name w:val="批注主题 字符"/>
    <w:basedOn w:val="51"/>
    <w:link w:val="21"/>
    <w:semiHidden/>
    <w:qFormat/>
    <w:uiPriority w:val="99"/>
    <w:rPr>
      <w:rFonts w:ascii="Arial" w:hAnsi="Arial" w:eastAsia="宋体"/>
      <w:b/>
      <w:bCs/>
      <w:lang w:val="en-GB" w:eastAsia="en-US"/>
    </w:rPr>
  </w:style>
  <w:style w:type="character" w:customStyle="1" w:styleId="53">
    <w:name w:val="B1 Zchn"/>
    <w:qFormat/>
    <w:uiPriority w:val="0"/>
    <w:rPr>
      <w:lang w:eastAsia="en-US"/>
    </w:rPr>
  </w:style>
  <w:style w:type="paragraph" w:customStyle="1" w:styleId="54">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5">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6">
    <w:name w:val="EQ"/>
    <w:basedOn w:val="1"/>
    <w:next w:val="1"/>
    <w:qFormat/>
    <w:uiPriority w:val="0"/>
    <w:pPr>
      <w:keepLines/>
      <w:tabs>
        <w:tab w:val="center" w:pos="4536"/>
        <w:tab w:val="right" w:pos="9072"/>
      </w:tabs>
    </w:pPr>
  </w:style>
  <w:style w:type="character" w:customStyle="1" w:styleId="57">
    <w:name w:val="列表段落 字符"/>
    <w:link w:val="33"/>
    <w:qFormat/>
    <w:uiPriority w:val="34"/>
    <w:rPr>
      <w:rFonts w:eastAsia="宋体"/>
      <w:lang w:val="en-GB" w:eastAsia="en-US"/>
    </w:rPr>
  </w:style>
  <w:style w:type="paragraph" w:customStyle="1" w:styleId="58">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59">
    <w:name w:val="B4"/>
    <w:basedOn w:val="1"/>
    <w:link w:val="66"/>
    <w:qFormat/>
    <w:uiPriority w:val="0"/>
    <w:pPr>
      <w:ind w:left="1418" w:hanging="284"/>
      <w:jc w:val="left"/>
    </w:pPr>
  </w:style>
  <w:style w:type="paragraph" w:customStyle="1" w:styleId="60">
    <w:name w:val="B5"/>
    <w:basedOn w:val="1"/>
    <w:link w:val="67"/>
    <w:qFormat/>
    <w:uiPriority w:val="0"/>
    <w:pPr>
      <w:ind w:left="1702" w:hanging="284"/>
      <w:jc w:val="left"/>
    </w:pPr>
  </w:style>
  <w:style w:type="paragraph" w:customStyle="1" w:styleId="61">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2">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3">
    <w:name w:val="bullet3"/>
    <w:basedOn w:val="1"/>
    <w:qFormat/>
    <w:uiPriority w:val="0"/>
    <w:pPr>
      <w:numPr>
        <w:ilvl w:val="2"/>
        <w:numId w:val="11"/>
      </w:numPr>
      <w:spacing w:after="0"/>
      <w:jc w:val="left"/>
    </w:pPr>
    <w:rPr>
      <w:rFonts w:ascii="Times" w:hAnsi="Times" w:eastAsia="Batang"/>
      <w:szCs w:val="24"/>
    </w:rPr>
  </w:style>
  <w:style w:type="paragraph" w:customStyle="1" w:styleId="64">
    <w:name w:val="bullet4"/>
    <w:basedOn w:val="1"/>
    <w:qFormat/>
    <w:uiPriority w:val="0"/>
    <w:pPr>
      <w:numPr>
        <w:ilvl w:val="3"/>
        <w:numId w:val="11"/>
      </w:numPr>
      <w:spacing w:after="0"/>
      <w:jc w:val="left"/>
    </w:pPr>
    <w:rPr>
      <w:rFonts w:ascii="Times" w:hAnsi="Times" w:eastAsia="Batang"/>
      <w:szCs w:val="24"/>
    </w:rPr>
  </w:style>
  <w:style w:type="paragraph" w:customStyle="1" w:styleId="65">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6">
    <w:name w:val="B4 Char"/>
    <w:link w:val="59"/>
    <w:qFormat/>
    <w:uiPriority w:val="0"/>
    <w:rPr>
      <w:rFonts w:eastAsia="宋体"/>
      <w:lang w:val="en-GB" w:eastAsia="en-US"/>
    </w:rPr>
  </w:style>
  <w:style w:type="character" w:customStyle="1" w:styleId="67">
    <w:name w:val="B5 Char"/>
    <w:link w:val="60"/>
    <w:qFormat/>
    <w:uiPriority w:val="0"/>
    <w:rPr>
      <w:rFonts w:eastAsia="宋体"/>
      <w:lang w:val="en-GB" w:eastAsia="en-US"/>
    </w:rPr>
  </w:style>
  <w:style w:type="paragraph" w:customStyle="1" w:styleId="68">
    <w:name w:val="修订1"/>
    <w:hidden/>
    <w:semiHidden/>
    <w:qFormat/>
    <w:uiPriority w:val="99"/>
    <w:rPr>
      <w:rFonts w:ascii="Times New Roman" w:hAnsi="Times New Roman" w:eastAsia="宋体" w:cs="Times New Roman"/>
      <w:lang w:val="en-GB" w:eastAsia="en-US" w:bidi="ar-SA"/>
    </w:rPr>
  </w:style>
  <w:style w:type="paragraph" w:customStyle="1" w:styleId="69">
    <w:name w:val="TAH"/>
    <w:basedOn w:val="70"/>
    <w:link w:val="74"/>
    <w:qFormat/>
    <w:uiPriority w:val="0"/>
    <w:rPr>
      <w:b/>
    </w:rPr>
  </w:style>
  <w:style w:type="paragraph" w:customStyle="1" w:styleId="70">
    <w:name w:val="TAC"/>
    <w:basedOn w:val="1"/>
    <w:link w:val="73"/>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1">
    <w:name w:val="TH"/>
    <w:basedOn w:val="1"/>
    <w:link w:val="72"/>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2">
    <w:name w:val="TH Char"/>
    <w:link w:val="71"/>
    <w:qFormat/>
    <w:uiPriority w:val="0"/>
    <w:rPr>
      <w:rFonts w:ascii="Arial" w:hAnsi="Arial"/>
      <w:b/>
      <w:lang w:val="en-GB" w:eastAsia="en-US"/>
    </w:rPr>
  </w:style>
  <w:style w:type="character" w:customStyle="1" w:styleId="73">
    <w:name w:val="TAC Char"/>
    <w:link w:val="70"/>
    <w:qFormat/>
    <w:uiPriority w:val="0"/>
    <w:rPr>
      <w:rFonts w:ascii="Arial" w:hAnsi="Arial"/>
      <w:sz w:val="18"/>
      <w:lang w:val="en-GB" w:eastAsia="en-US"/>
    </w:rPr>
  </w:style>
  <w:style w:type="character" w:customStyle="1" w:styleId="74">
    <w:name w:val="TAH Car"/>
    <w:link w:val="69"/>
    <w:qFormat/>
    <w:uiPriority w:val="0"/>
    <w:rPr>
      <w:rFonts w:ascii="Arial" w:hAnsi="Arial"/>
      <w:b/>
      <w:sz w:val="18"/>
      <w:lang w:val="en-GB" w:eastAsia="en-US"/>
    </w:rPr>
  </w:style>
  <w:style w:type="paragraph" w:customStyle="1" w:styleId="75">
    <w:name w:val="修订2"/>
    <w:hidden/>
    <w:semiHidden/>
    <w:qFormat/>
    <w:uiPriority w:val="99"/>
    <w:rPr>
      <w:rFonts w:ascii="Times New Roman" w:hAnsi="Times New Roman" w:eastAsia="宋体" w:cs="Times New Roman"/>
      <w:lang w:val="en-GB" w:eastAsia="en-US" w:bidi="ar-SA"/>
    </w:rPr>
  </w:style>
  <w:style w:type="paragraph" w:customStyle="1" w:styleId="76">
    <w:name w:val="修订3"/>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26A4-C3E7-42BA-928E-CDA5739577A0}">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8</Pages>
  <Words>3642</Words>
  <Characters>20762</Characters>
  <Lines>173</Lines>
  <Paragraphs>48</Paragraphs>
  <TotalTime>53</TotalTime>
  <ScaleCrop>false</ScaleCrop>
  <LinksUpToDate>false</LinksUpToDate>
  <CharactersWithSpaces>24356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Shijing</cp:lastModifiedBy>
  <cp:lastPrinted>2002-04-23T01:10:00Z</cp:lastPrinted>
  <dcterms:modified xsi:type="dcterms:W3CDTF">2025-03-28T02:55:17Z</dcterms:modified>
  <cp:revision>325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